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8304A"/>
          <w:sz w:val="56"/>
        </w:rPr>
        <w:t>ORIENTING ACADEMY</w:t>
      </w:r>
    </w:p>
    <w:p>
      <w:pPr>
        <w:jc w:val="center"/>
      </w:pPr>
      <w:r>
        <w:rPr>
          <w:b/>
          <w:color w:val="0F766E"/>
          <w:sz w:val="40"/>
        </w:rPr>
        <w:t>Detailed Project Report - 2026 Pro Accuracy Edition</w:t>
      </w:r>
    </w:p>
    <w:p>
      <w:pPr>
        <w:jc w:val="center"/>
      </w:pPr>
      <w:r>
        <w:t>Family Sports, Learning &amp; Living Campus</w:t>
        <w:br/>
        <w:t>Lingarajapuram - HRBR - Kalyan Nagar, Bengaluru</w:t>
        <w:br/>
        <w:t>5-acre concept | Ages 4+ | 36 LA28 Olympic sports</w:t>
      </w:r>
    </w:p>
    <w:p/>
    <w:p>
      <w:pPr>
        <w:jc w:val="center"/>
      </w:pPr>
      <w:r>
        <w:t>Research convention: official data &gt; official-derived data &gt; provider pricing &gt; marketplace/directory proxy &gt; explicit assumption.</w:t>
      </w:r>
    </w:p>
    <w:p>
      <w:pPr>
        <w:jc w:val="center"/>
      </w:pPr>
      <w:r>
        <w:t>Important: This DPR is a feasibility/planning document. It is not a land valuation, construction tender, legal opinion or bank sanction.</w:t>
      </w:r>
    </w:p>
    <w:p>
      <w:r>
        <w:br w:type="page"/>
      </w:r>
    </w:p>
    <w:p>
      <w:pPr>
        <w:pStyle w:val="Heading1"/>
      </w:pPr>
      <w:r>
        <w:t>1. Executive Summary</w:t>
      </w:r>
    </w:p>
    <w:p>
      <w:pPr>
        <w:spacing w:after="100"/>
      </w:pPr>
      <w:r>
        <w:t>The proposed Orienting Academy is a multi-generational development campus designed around a practical problem faced by working families: what happens between the end of school and the time parents return home. Instead of treating sports, tuition, food, childcare, health, leadership and senior engagement as separate businesses, the campus integrates them into one managed daily ecosystem.</w:t>
      </w:r>
    </w:p>
    <w:p>
      <w:pPr>
        <w:spacing w:after="100"/>
      </w:pPr>
      <w:r>
        <w:t>The revised 2026 pro case starts at age four and separates programmes by age and risk. Ages 4-6 enter through movement literacy, play, mini-sports, academics readiness and extended-day care. Older children progress through multi-sport discovery, sports specialization, leadership, academic support and federation-linked competition pathways.</w:t>
      </w:r>
    </w:p>
    <w:p>
      <w:pPr>
        <w:spacing w:after="100"/>
      </w:pPr>
      <w:r>
        <w:t>The Olympic portfolio covers all 36 sports on the current LA28 Olympic programme. A 5-acre Bengaluru campus cannot physically host every Olympic sport at competition specification; the model therefore distinguishes on-site, hybrid and partner/off-site delivery. This allows the academy to offer exposure and pathway access without overbuilding.</w:t>
      </w:r>
    </w:p>
    <w:p>
      <w:pPr>
        <w:spacing w:after="100"/>
      </w:pPr>
      <w:r>
        <w:t>Financially, the campus operating case can become viable, but the previously requested Rs.500 Cr land loan plus Rs.150 Cr development/operations debt is not serviceable from a single 5-acre operating campus under a 10-year debt schedule. The DPR therefore presents the Rs.650 Cr structure as a stress case and recommends a separate land/asset SPV, phased equity, long-tenure debt and institutional/CSR capital.</w:t>
      </w:r>
    </w:p>
    <w:p>
      <w:r>
        <w:rPr>
          <w:i/>
          <w:color w:val="646464"/>
          <w:sz w:val="14"/>
        </w:rPr>
        <w:t>Sources / basis: S01-S03, S07, S17-S22</w:t>
      </w:r>
    </w:p>
    <w:p>
      <w:r>
        <w:br w:type="page"/>
      </w:r>
    </w:p>
    <w:p>
      <w:pPr>
        <w:pStyle w:val="Heading1"/>
      </w:pPr>
      <w:r>
        <w:t>2. The Orienting Academy Story</w:t>
      </w:r>
    </w:p>
    <w:p>
      <w:pPr>
        <w:spacing w:after="100"/>
      </w:pPr>
      <w:r>
        <w:t>A four-year-old enters through play. A ten-year-old begins to discover sporting strengths. A fourteen-year-old learns to train with purpose. A sixteen-year-old begins to make decisions about performance, higher education and career pathways. The parent receives a single trusted after-school solution, while grandparents have a place to walk, meet, eat and participate in the child's life.</w:t>
      </w:r>
    </w:p>
    <w:p>
      <w:pPr>
        <w:spacing w:after="100"/>
      </w:pPr>
      <w:r>
        <w:t>The proposition is expressed through four verbs: MOVE, LEARN, LEAD and LIVE. MOVE is sport and physical literacy; LEARN is academics and finishing-school support; LEAD is experiential leadership; LIVE is food, healthcare, residential services, family membership and the grandparents programme.</w:t>
      </w:r>
    </w:p>
    <w:p>
      <w:pPr>
        <w:pStyle w:val="ListBullet"/>
      </w:pPr>
      <w:r>
        <w:t>MOVE - all-sport discovery and performance.</w:t>
      </w:r>
    </w:p>
    <w:p>
      <w:pPr>
        <w:pStyle w:val="ListBullet"/>
      </w:pPr>
      <w:r>
        <w:t>LEARN - homework, tuition, STEM, Olympiad and study skills.</w:t>
      </w:r>
    </w:p>
    <w:p>
      <w:pPr>
        <w:pStyle w:val="ListBullet"/>
      </w:pPr>
      <w:r>
        <w:t>LEAD - experiential leadership for children, schools and corporates.</w:t>
      </w:r>
    </w:p>
    <w:p>
      <w:pPr>
        <w:pStyle w:val="ListBullet"/>
      </w:pPr>
      <w:r>
        <w:t>LIVE - after-school care, residential, food, healthcare, cafe and senior community.</w:t>
      </w:r>
    </w:p>
    <w:p>
      <w:r>
        <w:br w:type="page"/>
      </w:r>
    </w:p>
    <w:p>
      <w:pPr>
        <w:pStyle w:val="Heading1"/>
      </w:pPr>
      <w:r>
        <w:t>3. Evidence Hierarchy and Accuracy Standard</w:t>
      </w:r>
    </w:p>
    <w:p>
      <w:pPr>
        <w:spacing w:after="100"/>
      </w:pPr>
      <w:r>
        <w:t>Not all data used in a feasibility plan have the same reliability. This DPR therefore assigns an evidence class to major market and operating assumptions. Official sources are used for the Olympic programme, district demographics, education-system context, child-safety guidance, private-security regulation and food compliance. Local directories and marketplaces are used only to signal supply and pricing.</w:t>
      </w:r>
    </w:p>
    <w:p>
      <w:pPr>
        <w:spacing w:after="100"/>
      </w:pPr>
      <w:r>
        <w:t>Where exact 5-km data do not exist publicly - for example, household recreation spending or the number of unorganised tutors - the DPR states the data gap rather than presenting an estimate as a fact.</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2628"/>
            <w:shd w:fill="18304A"/>
          </w:tcPr>
          <w:p>
            <w:r>
              <w:rPr>
                <w:b/>
                <w:color w:val="FFFFFF"/>
                <w:sz w:val="14"/>
              </w:rPr>
              <w:t>Evidence class</w:t>
            </w:r>
          </w:p>
        </w:tc>
        <w:tc>
          <w:tcPr>
            <w:tcW w:type="dxa" w:w="2628"/>
            <w:shd w:fill="18304A"/>
          </w:tcPr>
          <w:p>
            <w:r>
              <w:rPr>
                <w:b/>
                <w:color w:val="FFFFFF"/>
                <w:sz w:val="14"/>
              </w:rPr>
              <w:t>Use</w:t>
            </w:r>
          </w:p>
        </w:tc>
        <w:tc>
          <w:tcPr>
            <w:tcW w:type="dxa" w:w="2628"/>
            <w:shd w:fill="18304A"/>
          </w:tcPr>
          <w:p>
            <w:r>
              <w:rPr>
                <w:b/>
                <w:color w:val="FFFFFF"/>
                <w:sz w:val="14"/>
              </w:rPr>
              <w:t>Typical sources</w:t>
            </w:r>
          </w:p>
        </w:tc>
        <w:tc>
          <w:tcPr>
            <w:tcW w:type="dxa" w:w="2628"/>
            <w:shd w:fill="18304A"/>
          </w:tcPr>
          <w:p>
            <w:r>
              <w:rPr>
                <w:b/>
                <w:color w:val="FFFFFF"/>
                <w:sz w:val="14"/>
              </w:rPr>
              <w:t>Confidence</w:t>
            </w:r>
          </w:p>
        </w:tc>
      </w:tr>
      <w:tr>
        <w:tc>
          <w:tcPr>
            <w:tcW w:type="dxa" w:w="2628"/>
            <w:vAlign w:val="center"/>
          </w:tcPr>
          <w:p>
            <w:r>
              <w:rPr>
                <w:sz w:val="14"/>
              </w:rPr>
              <w:t>Official</w:t>
            </w:r>
          </w:p>
        </w:tc>
        <w:tc>
          <w:tcPr>
            <w:tcW w:type="dxa" w:w="2628"/>
            <w:vAlign w:val="center"/>
          </w:tcPr>
          <w:p>
            <w:r>
              <w:rPr>
                <w:sz w:val="14"/>
              </w:rPr>
              <w:t>Core facts / regulation</w:t>
            </w:r>
          </w:p>
        </w:tc>
        <w:tc>
          <w:tcPr>
            <w:tcW w:type="dxa" w:w="2628"/>
            <w:vAlign w:val="center"/>
          </w:tcPr>
          <w:p>
            <w:r>
              <w:rPr>
                <w:sz w:val="14"/>
              </w:rPr>
              <w:t>IOC, UDISE+, MOSPI, Karnataka Govt, NCPCR, MHA, FSSAI</w:t>
            </w:r>
          </w:p>
        </w:tc>
        <w:tc>
          <w:tcPr>
            <w:tcW w:type="dxa" w:w="2628"/>
            <w:vAlign w:val="center"/>
          </w:tcPr>
          <w:p>
            <w:r>
              <w:rPr>
                <w:sz w:val="14"/>
              </w:rPr>
              <w:t>High</w:t>
            </w:r>
          </w:p>
        </w:tc>
      </w:tr>
      <w:tr>
        <w:tc>
          <w:tcPr>
            <w:tcW w:type="dxa" w:w="2628"/>
            <w:vAlign w:val="center"/>
          </w:tcPr>
          <w:p>
            <w:r>
              <w:rPr>
                <w:sz w:val="14"/>
              </w:rPr>
              <w:t>Official-derived</w:t>
            </w:r>
          </w:p>
        </w:tc>
        <w:tc>
          <w:tcPr>
            <w:tcW w:type="dxa" w:w="2628"/>
            <w:vAlign w:val="center"/>
          </w:tcPr>
          <w:p>
            <w:r>
              <w:rPr>
                <w:sz w:val="14"/>
              </w:rPr>
              <w:t>Economic tables / datasets</w:t>
            </w:r>
          </w:p>
        </w:tc>
        <w:tc>
          <w:tcPr>
            <w:tcW w:type="dxa" w:w="2628"/>
            <w:vAlign w:val="center"/>
          </w:tcPr>
          <w:p>
            <w:r>
              <w:rPr>
                <w:sz w:val="14"/>
              </w:rPr>
              <w:t>Karnataka DES report tables</w:t>
            </w:r>
          </w:p>
        </w:tc>
        <w:tc>
          <w:tcPr>
            <w:tcW w:type="dxa" w:w="2628"/>
            <w:vAlign w:val="center"/>
          </w:tcPr>
          <w:p>
            <w:r>
              <w:rPr>
                <w:sz w:val="14"/>
              </w:rPr>
              <w:t>High/medium</w:t>
            </w:r>
          </w:p>
        </w:tc>
      </w:tr>
      <w:tr>
        <w:tc>
          <w:tcPr>
            <w:tcW w:type="dxa" w:w="2628"/>
            <w:vAlign w:val="center"/>
          </w:tcPr>
          <w:p>
            <w:r>
              <w:rPr>
                <w:sz w:val="14"/>
              </w:rPr>
              <w:t>Provider pricing</w:t>
            </w:r>
          </w:p>
        </w:tc>
        <w:tc>
          <w:tcPr>
            <w:tcW w:type="dxa" w:w="2628"/>
            <w:vAlign w:val="center"/>
          </w:tcPr>
          <w:p>
            <w:r>
              <w:rPr>
                <w:sz w:val="14"/>
              </w:rPr>
              <w:t>Price benchmarks</w:t>
            </w:r>
          </w:p>
        </w:tc>
        <w:tc>
          <w:tcPr>
            <w:tcW w:type="dxa" w:w="2628"/>
            <w:vAlign w:val="center"/>
          </w:tcPr>
          <w:p>
            <w:r>
              <w:rPr>
                <w:sz w:val="14"/>
              </w:rPr>
              <w:t>Sporthood, Gopalan Sports</w:t>
            </w:r>
          </w:p>
        </w:tc>
        <w:tc>
          <w:tcPr>
            <w:tcW w:type="dxa" w:w="2628"/>
            <w:vAlign w:val="center"/>
          </w:tcPr>
          <w:p>
            <w:r>
              <w:rPr>
                <w:sz w:val="14"/>
              </w:rPr>
              <w:t>Medium</w:t>
            </w:r>
          </w:p>
        </w:tc>
      </w:tr>
      <w:tr>
        <w:tc>
          <w:tcPr>
            <w:tcW w:type="dxa" w:w="2628"/>
            <w:vAlign w:val="center"/>
          </w:tcPr>
          <w:p>
            <w:r>
              <w:rPr>
                <w:sz w:val="14"/>
              </w:rPr>
              <w:t>Marketplace/directory</w:t>
            </w:r>
          </w:p>
        </w:tc>
        <w:tc>
          <w:tcPr>
            <w:tcW w:type="dxa" w:w="2628"/>
            <w:vAlign w:val="center"/>
          </w:tcPr>
          <w:p>
            <w:r>
              <w:rPr>
                <w:sz w:val="14"/>
              </w:rPr>
              <w:t>Visible supply / competition</w:t>
            </w:r>
          </w:p>
        </w:tc>
        <w:tc>
          <w:tcPr>
            <w:tcW w:type="dxa" w:w="2628"/>
            <w:vAlign w:val="center"/>
          </w:tcPr>
          <w:p>
            <w:r>
              <w:rPr>
                <w:sz w:val="14"/>
              </w:rPr>
              <w:t>Edustoke, UrbanPro, Playo</w:t>
            </w:r>
          </w:p>
        </w:tc>
        <w:tc>
          <w:tcPr>
            <w:tcW w:type="dxa" w:w="2628"/>
            <w:vAlign w:val="center"/>
          </w:tcPr>
          <w:p>
            <w:r>
              <w:rPr>
                <w:sz w:val="14"/>
              </w:rPr>
              <w:t>Medium/low</w:t>
            </w:r>
          </w:p>
        </w:tc>
      </w:tr>
      <w:tr>
        <w:tc>
          <w:tcPr>
            <w:tcW w:type="dxa" w:w="2628"/>
            <w:vAlign w:val="center"/>
          </w:tcPr>
          <w:p>
            <w:r>
              <w:rPr>
                <w:sz w:val="14"/>
              </w:rPr>
              <w:t>Assumption</w:t>
            </w:r>
          </w:p>
        </w:tc>
        <w:tc>
          <w:tcPr>
            <w:tcW w:type="dxa" w:w="2628"/>
            <w:vAlign w:val="center"/>
          </w:tcPr>
          <w:p>
            <w:r>
              <w:rPr>
                <w:sz w:val="14"/>
              </w:rPr>
              <w:t>Financial scenario / staffing</w:t>
            </w:r>
          </w:p>
        </w:tc>
        <w:tc>
          <w:tcPr>
            <w:tcW w:type="dxa" w:w="2628"/>
            <w:vAlign w:val="center"/>
          </w:tcPr>
          <w:p>
            <w:r>
              <w:rPr>
                <w:sz w:val="14"/>
              </w:rPr>
              <w:t>Management planning inputs</w:t>
            </w:r>
          </w:p>
        </w:tc>
        <w:tc>
          <w:tcPr>
            <w:tcW w:type="dxa" w:w="2628"/>
            <w:vAlign w:val="center"/>
          </w:tcPr>
          <w:p>
            <w:r>
              <w:rPr>
                <w:sz w:val="14"/>
              </w:rPr>
              <w:t>Low until validated</w:t>
            </w:r>
          </w:p>
        </w:tc>
      </w:tr>
    </w:tbl>
    <w:p>
      <w:r>
        <w:br w:type="page"/>
      </w:r>
    </w:p>
    <w:p>
      <w:pPr>
        <w:pStyle w:val="Heading1"/>
      </w:pPr>
      <w:r>
        <w:t>4. Market Geography and Catchment</w:t>
      </w:r>
    </w:p>
    <w:p>
      <w:pPr>
        <w:spacing w:after="100"/>
      </w:pPr>
      <w:r>
        <w:t>The commercial catchment is defined as approximately five kilometres around Lingarajapuram, extending toward HRBR Layout, Kalyan Nagar, Kammanahalli, HBR Layout, Cooke Town, Banaswadi and Hennur. This is a business-planning geography rather than an official statistical unit.</w:t>
      </w:r>
    </w:p>
    <w:p>
      <w:pPr>
        <w:spacing w:after="100"/>
      </w:pPr>
      <w:r>
        <w:t>The Bengaluru Urban district's official demographic page reports a 2011 Census population of 9,621,551, including 8,749,944 urban residents, and 87.67% literacy. These district figures provide context only and should not be converted directly into the population of the 5-km catchment.</w:t>
      </w:r>
    </w:p>
    <w:p>
      <w:pPr>
        <w:spacing w:after="100"/>
      </w:pPr>
      <w:r>
        <w:t>Before investment approval, a GIS catchment study should overlay ward populations, residential projects, schools, traffic-time isochrones and major employment nodes.</w:t>
      </w:r>
    </w:p>
    <w:p>
      <w:r>
        <w:rPr>
          <w:i/>
          <w:color w:val="646464"/>
          <w:sz w:val="14"/>
        </w:rPr>
        <w:t>Sources / basis: S07</w:t>
      </w:r>
    </w:p>
    <w:p>
      <w:r>
        <w:br w:type="page"/>
      </w:r>
    </w:p>
    <w:p>
      <w:pPr>
        <w:pStyle w:val="Heading1"/>
      </w:pPr>
      <w:r>
        <w:t>5. Household Economics and Spending Context</w:t>
      </w:r>
    </w:p>
    <w:p>
      <w:pPr>
        <w:spacing w:after="100"/>
      </w:pPr>
      <w:r>
        <w:t>MOSPI's HCES 2023-24 reports average urban monthly per-capita consumption expenditure of Rs.6,996 without imputation. This is useful as a national urban spending benchmark but does not provide a direct estimate of how much Lingarajapuram families spend on children's sport or recreation.</w:t>
      </w:r>
    </w:p>
    <w:p>
      <w:pPr>
        <w:spacing w:after="100"/>
      </w:pPr>
      <w:r>
        <w:t>The correct investment-grade approach is to combine HCES with a local parent survey covering household income bands, current after-school spend, sports fees, tuition fees, transport costs, meal costs and willingness to pay for an integrated programme.</w:t>
      </w:r>
    </w:p>
    <w:p>
      <w:r>
        <w:rPr>
          <w:i/>
          <w:color w:val="646464"/>
          <w:sz w:val="14"/>
        </w:rPr>
        <w:t>Sources / basis: S06</w:t>
      </w:r>
    </w:p>
    <w:p>
      <w:r>
        <w:br w:type="page"/>
      </w:r>
    </w:p>
    <w:p>
      <w:pPr>
        <w:pStyle w:val="Heading1"/>
      </w:pPr>
      <w:r>
        <w:t>6. School and Tuition Market</w:t>
      </w:r>
    </w:p>
    <w:p>
      <w:pPr>
        <w:spacing w:after="100"/>
      </w:pPr>
      <w:r>
        <w:t>Edustoke's 2026-27 Lingarajapuram directory returns 161 schools in and around the locality. This should be understood as a directory result, not as an official count within a precise 5-km radius.</w:t>
      </w:r>
    </w:p>
    <w:p>
      <w:pPr>
        <w:spacing w:after="100"/>
      </w:pPr>
      <w:r>
        <w:t>UrbanPro's Class I-V page for Lingarajapuram showed 146 available listings at the July 2026 crawl, an average of about Rs.350 per hour and a stated 1-to-1 range of Rs.300-400 per hour. This demonstrates visible tutoring supply and price levels, but not the number of organised centres or unorganised tutors.</w:t>
      </w:r>
    </w:p>
    <w:p>
      <w:pPr>
        <w:spacing w:after="100"/>
      </w:pPr>
      <w:r>
        <w:t>The final due-diligence study should use UDISE+ Know Your School to validate each target school and then directly verify student enrolment, after-school timings, transport routes and decision-makers.</w:t>
      </w:r>
    </w:p>
    <w:p>
      <w:r>
        <w:rPr>
          <w:i/>
          <w:color w:val="646464"/>
          <w:sz w:val="14"/>
        </w:rPr>
        <w:t>Sources / basis: S04, S05, S10-S12</w:t>
      </w:r>
    </w:p>
    <w:p>
      <w:r>
        <w:br w:type="page"/>
      </w:r>
    </w:p>
    <w:p>
      <w:pPr>
        <w:pStyle w:val="Heading1"/>
      </w:pPr>
      <w:r>
        <w:t>7. Age Architecture - 4 Years and Above</w:t>
      </w:r>
    </w:p>
    <w:p>
      <w:pPr>
        <w:spacing w:after="100"/>
      </w:pPr>
      <w:r>
        <w:t>The business is not designed as one uniform academy. Child-to-adult ratios, sport exposure, learning goals and care standards change with age. The ratios below are internal planning assumptions for programme design, not statutory ratios.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Segment</w:t>
            </w:r>
          </w:p>
        </w:tc>
        <w:tc>
          <w:tcPr>
            <w:tcW w:type="dxa" w:w="2102"/>
            <w:shd w:fill="18304A"/>
          </w:tcPr>
          <w:p>
            <w:r>
              <w:rPr>
                <w:b/>
                <w:color w:val="FFFFFF"/>
                <w:sz w:val="14"/>
              </w:rPr>
              <w:t>Age</w:t>
            </w:r>
          </w:p>
        </w:tc>
        <w:tc>
          <w:tcPr>
            <w:tcW w:type="dxa" w:w="2102"/>
            <w:shd w:fill="18304A"/>
          </w:tcPr>
          <w:p>
            <w:r>
              <w:rPr>
                <w:b/>
                <w:color w:val="FFFFFF"/>
                <w:sz w:val="14"/>
              </w:rPr>
              <w:t>Focus</w:t>
            </w:r>
          </w:p>
        </w:tc>
        <w:tc>
          <w:tcPr>
            <w:tcW w:type="dxa" w:w="2102"/>
            <w:shd w:fill="18304A"/>
          </w:tcPr>
          <w:p>
            <w:r>
              <w:rPr>
                <w:b/>
                <w:color w:val="FFFFFF"/>
                <w:sz w:val="14"/>
              </w:rPr>
              <w:t>Planning ratio</w:t>
            </w:r>
          </w:p>
        </w:tc>
        <w:tc>
          <w:tcPr>
            <w:tcW w:type="dxa" w:w="2102"/>
            <w:shd w:fill="18304A"/>
          </w:tcPr>
          <w:p>
            <w:r>
              <w:rPr>
                <w:b/>
                <w:color w:val="FFFFFF"/>
                <w:sz w:val="14"/>
              </w:rPr>
              <w:t>Residential note</w:t>
            </w:r>
          </w:p>
        </w:tc>
      </w:tr>
      <w:tr>
        <w:tc>
          <w:tcPr>
            <w:tcW w:type="dxa" w:w="2102"/>
            <w:vAlign w:val="center"/>
          </w:tcPr>
          <w:p>
            <w:r>
              <w:rPr>
                <w:sz w:val="14"/>
              </w:rPr>
              <w:t>Foundation</w:t>
            </w:r>
          </w:p>
        </w:tc>
        <w:tc>
          <w:tcPr>
            <w:tcW w:type="dxa" w:w="2102"/>
            <w:vAlign w:val="center"/>
          </w:tcPr>
          <w:p>
            <w:r>
              <w:rPr>
                <w:sz w:val="14"/>
              </w:rPr>
              <w:t>4-6</w:t>
            </w:r>
          </w:p>
        </w:tc>
        <w:tc>
          <w:tcPr>
            <w:tcW w:type="dxa" w:w="2102"/>
            <w:vAlign w:val="center"/>
          </w:tcPr>
          <w:p>
            <w:r>
              <w:rPr>
                <w:sz w:val="14"/>
              </w:rPr>
              <w:t>Movement literacy, play, coordination, water confidence, mini-games</w:t>
            </w:r>
          </w:p>
        </w:tc>
        <w:tc>
          <w:tcPr>
            <w:tcW w:type="dxa" w:w="2102"/>
            <w:vAlign w:val="center"/>
          </w:tcPr>
          <w:p>
            <w:r>
              <w:rPr>
                <w:sz w:val="14"/>
              </w:rPr>
              <w:t>1:8</w:t>
            </w:r>
          </w:p>
        </w:tc>
        <w:tc>
          <w:tcPr>
            <w:tcW w:type="dxa" w:w="2102"/>
            <w:vAlign w:val="center"/>
          </w:tcPr>
          <w:p>
            <w:r>
              <w:rPr>
                <w:sz w:val="14"/>
              </w:rPr>
              <w:t>Extended day recommended; no routine overnight in base case</w:t>
            </w:r>
          </w:p>
        </w:tc>
      </w:tr>
      <w:tr>
        <w:tc>
          <w:tcPr>
            <w:tcW w:type="dxa" w:w="2102"/>
            <w:vAlign w:val="center"/>
          </w:tcPr>
          <w:p>
            <w:r>
              <w:rPr>
                <w:sz w:val="14"/>
              </w:rPr>
              <w:t>Discovery</w:t>
            </w:r>
          </w:p>
        </w:tc>
        <w:tc>
          <w:tcPr>
            <w:tcW w:type="dxa" w:w="2102"/>
            <w:vAlign w:val="center"/>
          </w:tcPr>
          <w:p>
            <w:r>
              <w:rPr>
                <w:sz w:val="14"/>
              </w:rPr>
              <w:t>7-9</w:t>
            </w:r>
          </w:p>
        </w:tc>
        <w:tc>
          <w:tcPr>
            <w:tcW w:type="dxa" w:w="2102"/>
            <w:vAlign w:val="center"/>
          </w:tcPr>
          <w:p>
            <w:r>
              <w:rPr>
                <w:sz w:val="14"/>
              </w:rPr>
              <w:t>Multi-sport sampling, fundamentals, teamwork</w:t>
            </w:r>
          </w:p>
        </w:tc>
        <w:tc>
          <w:tcPr>
            <w:tcW w:type="dxa" w:w="2102"/>
            <w:vAlign w:val="center"/>
          </w:tcPr>
          <w:p>
            <w:r>
              <w:rPr>
                <w:sz w:val="14"/>
              </w:rPr>
              <w:t>1:10</w:t>
            </w:r>
          </w:p>
        </w:tc>
        <w:tc>
          <w:tcPr>
            <w:tcW w:type="dxa" w:w="2102"/>
            <w:vAlign w:val="center"/>
          </w:tcPr>
          <w:p>
            <w:r>
              <w:rPr>
                <w:sz w:val="14"/>
              </w:rPr>
              <w:t>Residential only after legal/safeguarding validation</w:t>
            </w:r>
          </w:p>
        </w:tc>
      </w:tr>
      <w:tr>
        <w:tc>
          <w:tcPr>
            <w:tcW w:type="dxa" w:w="2102"/>
            <w:vAlign w:val="center"/>
          </w:tcPr>
          <w:p>
            <w:r>
              <w:rPr>
                <w:sz w:val="14"/>
              </w:rPr>
              <w:t>Development</w:t>
            </w:r>
          </w:p>
        </w:tc>
        <w:tc>
          <w:tcPr>
            <w:tcW w:type="dxa" w:w="2102"/>
            <w:vAlign w:val="center"/>
          </w:tcPr>
          <w:p>
            <w:r>
              <w:rPr>
                <w:sz w:val="14"/>
              </w:rPr>
              <w:t>10-12</w:t>
            </w:r>
          </w:p>
        </w:tc>
        <w:tc>
          <w:tcPr>
            <w:tcW w:type="dxa" w:w="2102"/>
            <w:vAlign w:val="center"/>
          </w:tcPr>
          <w:p>
            <w:r>
              <w:rPr>
                <w:sz w:val="14"/>
              </w:rPr>
              <w:t>Technique, fitness, academic habits, sport selection</w:t>
            </w:r>
          </w:p>
        </w:tc>
        <w:tc>
          <w:tcPr>
            <w:tcW w:type="dxa" w:w="2102"/>
            <w:vAlign w:val="center"/>
          </w:tcPr>
          <w:p>
            <w:r>
              <w:rPr>
                <w:sz w:val="14"/>
              </w:rPr>
              <w:t>1:12</w:t>
            </w:r>
          </w:p>
        </w:tc>
        <w:tc>
          <w:tcPr>
            <w:tcW w:type="dxa" w:w="2102"/>
            <w:vAlign w:val="center"/>
          </w:tcPr>
          <w:p>
            <w:r>
              <w:rPr>
                <w:sz w:val="14"/>
              </w:rPr>
              <w:t>Competition introduction</w:t>
            </w:r>
          </w:p>
        </w:tc>
      </w:tr>
      <w:tr>
        <w:tc>
          <w:tcPr>
            <w:tcW w:type="dxa" w:w="2102"/>
            <w:vAlign w:val="center"/>
          </w:tcPr>
          <w:p>
            <w:r>
              <w:rPr>
                <w:sz w:val="14"/>
              </w:rPr>
              <w:t>Performance</w:t>
            </w:r>
          </w:p>
        </w:tc>
        <w:tc>
          <w:tcPr>
            <w:tcW w:type="dxa" w:w="2102"/>
            <w:vAlign w:val="center"/>
          </w:tcPr>
          <w:p>
            <w:r>
              <w:rPr>
                <w:sz w:val="14"/>
              </w:rPr>
              <w:t>13-15</w:t>
            </w:r>
          </w:p>
        </w:tc>
        <w:tc>
          <w:tcPr>
            <w:tcW w:type="dxa" w:w="2102"/>
            <w:vAlign w:val="center"/>
          </w:tcPr>
          <w:p>
            <w:r>
              <w:rPr>
                <w:sz w:val="14"/>
              </w:rPr>
              <w:t>Specialisation, S&amp;C, leadership, competition</w:t>
            </w:r>
          </w:p>
        </w:tc>
        <w:tc>
          <w:tcPr>
            <w:tcW w:type="dxa" w:w="2102"/>
            <w:vAlign w:val="center"/>
          </w:tcPr>
          <w:p>
            <w:r>
              <w:rPr>
                <w:sz w:val="14"/>
              </w:rPr>
              <w:t>1:15</w:t>
            </w:r>
          </w:p>
        </w:tc>
        <w:tc>
          <w:tcPr>
            <w:tcW w:type="dxa" w:w="2102"/>
            <w:vAlign w:val="center"/>
          </w:tcPr>
          <w:p>
            <w:r>
              <w:rPr>
                <w:sz w:val="14"/>
              </w:rPr>
              <w:t>Structured performance pathway</w:t>
            </w:r>
          </w:p>
        </w:tc>
      </w:tr>
      <w:tr>
        <w:tc>
          <w:tcPr>
            <w:tcW w:type="dxa" w:w="2102"/>
            <w:vAlign w:val="center"/>
          </w:tcPr>
          <w:p>
            <w:r>
              <w:rPr>
                <w:sz w:val="14"/>
              </w:rPr>
              <w:t>Pre-elite</w:t>
            </w:r>
          </w:p>
        </w:tc>
        <w:tc>
          <w:tcPr>
            <w:tcW w:type="dxa" w:w="2102"/>
            <w:vAlign w:val="center"/>
          </w:tcPr>
          <w:p>
            <w:r>
              <w:rPr>
                <w:sz w:val="14"/>
              </w:rPr>
              <w:t>16-18</w:t>
            </w:r>
          </w:p>
        </w:tc>
        <w:tc>
          <w:tcPr>
            <w:tcW w:type="dxa" w:w="2102"/>
            <w:vAlign w:val="center"/>
          </w:tcPr>
          <w:p>
            <w:r>
              <w:rPr>
                <w:sz w:val="14"/>
              </w:rPr>
              <w:t>High-performance, career/college orientation</w:t>
            </w:r>
          </w:p>
        </w:tc>
        <w:tc>
          <w:tcPr>
            <w:tcW w:type="dxa" w:w="2102"/>
            <w:vAlign w:val="center"/>
          </w:tcPr>
          <w:p>
            <w:r>
              <w:rPr>
                <w:sz w:val="14"/>
              </w:rPr>
              <w:t>1:15</w:t>
            </w:r>
          </w:p>
        </w:tc>
        <w:tc>
          <w:tcPr>
            <w:tcW w:type="dxa" w:w="2102"/>
            <w:vAlign w:val="center"/>
          </w:tcPr>
          <w:p>
            <w:r>
              <w:rPr>
                <w:sz w:val="14"/>
              </w:rPr>
              <w:t>Federation pathway</w:t>
            </w:r>
          </w:p>
        </w:tc>
      </w:tr>
      <w:tr>
        <w:tc>
          <w:tcPr>
            <w:tcW w:type="dxa" w:w="2102"/>
            <w:vAlign w:val="center"/>
          </w:tcPr>
          <w:p>
            <w:r>
              <w:rPr>
                <w:sz w:val="14"/>
              </w:rPr>
              <w:t>Young adult</w:t>
            </w:r>
          </w:p>
        </w:tc>
        <w:tc>
          <w:tcPr>
            <w:tcW w:type="dxa" w:w="2102"/>
            <w:vAlign w:val="center"/>
          </w:tcPr>
          <w:p>
            <w:r>
              <w:rPr>
                <w:sz w:val="14"/>
              </w:rPr>
              <w:t>18-25</w:t>
            </w:r>
          </w:p>
        </w:tc>
        <w:tc>
          <w:tcPr>
            <w:tcW w:type="dxa" w:w="2102"/>
            <w:vAlign w:val="center"/>
          </w:tcPr>
          <w:p>
            <w:r>
              <w:rPr>
                <w:sz w:val="14"/>
              </w:rPr>
              <w:t>Performance, recreational, coaching/official development</w:t>
            </w:r>
          </w:p>
        </w:tc>
        <w:tc>
          <w:tcPr>
            <w:tcW w:type="dxa" w:w="2102"/>
            <w:vAlign w:val="center"/>
          </w:tcPr>
          <w:p>
            <w:r>
              <w:rPr>
                <w:sz w:val="14"/>
              </w:rPr>
              <w:t>1:18</w:t>
            </w:r>
          </w:p>
        </w:tc>
        <w:tc>
          <w:tcPr>
            <w:tcW w:type="dxa" w:w="2102"/>
            <w:vAlign w:val="center"/>
          </w:tcPr>
          <w:p>
            <w:r>
              <w:rPr>
                <w:sz w:val="14"/>
              </w:rPr>
              <w:t>Ancillary</w:t>
            </w:r>
          </w:p>
        </w:tc>
      </w:tr>
      <w:tr>
        <w:tc>
          <w:tcPr>
            <w:tcW w:type="dxa" w:w="2102"/>
            <w:vAlign w:val="center"/>
          </w:tcPr>
          <w:p>
            <w:r>
              <w:rPr>
                <w:sz w:val="14"/>
              </w:rPr>
              <w:t>Adult / Parent</w:t>
            </w:r>
          </w:p>
        </w:tc>
        <w:tc>
          <w:tcPr>
            <w:tcW w:type="dxa" w:w="2102"/>
            <w:vAlign w:val="center"/>
          </w:tcPr>
          <w:p>
            <w:r>
              <w:rPr>
                <w:sz w:val="14"/>
              </w:rPr>
              <w:t>26-59</w:t>
            </w:r>
          </w:p>
        </w:tc>
        <w:tc>
          <w:tcPr>
            <w:tcW w:type="dxa" w:w="2102"/>
            <w:vAlign w:val="center"/>
          </w:tcPr>
          <w:p>
            <w:r>
              <w:rPr>
                <w:sz w:val="14"/>
              </w:rPr>
              <w:t>Fitness, recreation, clubs, corporate leagues</w:t>
            </w:r>
          </w:p>
        </w:tc>
        <w:tc>
          <w:tcPr>
            <w:tcW w:type="dxa" w:w="2102"/>
            <w:vAlign w:val="center"/>
          </w:tcPr>
          <w:p>
            <w:r>
              <w:rPr>
                <w:sz w:val="14"/>
              </w:rPr>
              <w:t>1:20</w:t>
            </w:r>
          </w:p>
        </w:tc>
        <w:tc>
          <w:tcPr>
            <w:tcW w:type="dxa" w:w="2102"/>
            <w:vAlign w:val="center"/>
          </w:tcPr>
          <w:p>
            <w:r>
              <w:rPr>
                <w:sz w:val="14"/>
              </w:rPr>
              <w:t>Ancillary</w:t>
            </w:r>
          </w:p>
        </w:tc>
      </w:tr>
      <w:tr>
        <w:tc>
          <w:tcPr>
            <w:tcW w:type="dxa" w:w="2102"/>
            <w:vAlign w:val="center"/>
          </w:tcPr>
          <w:p>
            <w:r>
              <w:rPr>
                <w:sz w:val="14"/>
              </w:rPr>
              <w:t>Senior</w:t>
            </w:r>
          </w:p>
        </w:tc>
        <w:tc>
          <w:tcPr>
            <w:tcW w:type="dxa" w:w="2102"/>
            <w:vAlign w:val="center"/>
          </w:tcPr>
          <w:p>
            <w:r>
              <w:rPr>
                <w:sz w:val="14"/>
              </w:rPr>
              <w:t>60+</w:t>
            </w:r>
          </w:p>
        </w:tc>
        <w:tc>
          <w:tcPr>
            <w:tcW w:type="dxa" w:w="2102"/>
            <w:vAlign w:val="center"/>
          </w:tcPr>
          <w:p>
            <w:r>
              <w:rPr>
                <w:sz w:val="14"/>
              </w:rPr>
              <w:t>Walking, mobility, community, low-impact activity</w:t>
            </w:r>
          </w:p>
        </w:tc>
        <w:tc>
          <w:tcPr>
            <w:tcW w:type="dxa" w:w="2102"/>
            <w:vAlign w:val="center"/>
          </w:tcPr>
          <w:p>
            <w:r>
              <w:rPr>
                <w:sz w:val="14"/>
              </w:rPr>
              <w:t>1:12</w:t>
            </w:r>
          </w:p>
        </w:tc>
        <w:tc>
          <w:tcPr>
            <w:tcW w:type="dxa" w:w="2102"/>
            <w:vAlign w:val="center"/>
          </w:tcPr>
          <w:p>
            <w:r>
              <w:rPr>
                <w:sz w:val="14"/>
              </w:rPr>
              <w:t>Grandparents programme</w:t>
            </w:r>
          </w:p>
        </w:tc>
      </w:tr>
    </w:tbl>
    <w:p>
      <w:r>
        <w:br w:type="page"/>
      </w:r>
    </w:p>
    <w:p>
      <w:pPr>
        <w:pStyle w:val="Heading1"/>
      </w:pPr>
      <w:r>
        <w:t>8. Olympic Sports Portfolio - Part 1</w:t>
      </w:r>
    </w:p>
    <w:p>
      <w:pPr>
        <w:spacing w:after="100"/>
      </w:pPr>
      <w:r>
        <w:t>The academy includes every sport on the current LA28 Olympic programme. The delivery model is deliberately mixed: core field/court sports are delivered on site; facility-intensive sports are hybrid or partner-led.</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1752"/>
            <w:shd w:fill="18304A"/>
          </w:tcPr>
          <w:p>
            <w:r>
              <w:rPr>
                <w:b/>
                <w:color w:val="FFFFFF"/>
                <w:sz w:val="14"/>
              </w:rPr>
              <w:t>Sport</w:t>
            </w:r>
          </w:p>
        </w:tc>
        <w:tc>
          <w:tcPr>
            <w:tcW w:type="dxa" w:w="1752"/>
            <w:shd w:fill="18304A"/>
          </w:tcPr>
          <w:p>
            <w:r>
              <w:rPr>
                <w:b/>
                <w:color w:val="FFFFFF"/>
                <w:sz w:val="14"/>
              </w:rPr>
              <w:t>Mode</w:t>
            </w:r>
          </w:p>
        </w:tc>
        <w:tc>
          <w:tcPr>
            <w:tcW w:type="dxa" w:w="1752"/>
            <w:shd w:fill="18304A"/>
          </w:tcPr>
          <w:p>
            <w:r>
              <w:rPr>
                <w:b/>
                <w:color w:val="FFFFFF"/>
                <w:sz w:val="14"/>
              </w:rPr>
              <w:t>Start age</w:t>
            </w:r>
          </w:p>
        </w:tc>
        <w:tc>
          <w:tcPr>
            <w:tcW w:type="dxa" w:w="1752"/>
            <w:shd w:fill="18304A"/>
          </w:tcPr>
          <w:p>
            <w:r>
              <w:rPr>
                <w:b/>
                <w:color w:val="FFFFFF"/>
                <w:sz w:val="14"/>
              </w:rPr>
              <w:t>Illustrative fee</w:t>
            </w:r>
          </w:p>
        </w:tc>
        <w:tc>
          <w:tcPr>
            <w:tcW w:type="dxa" w:w="1752"/>
            <w:shd w:fill="18304A"/>
          </w:tcPr>
          <w:p>
            <w:r>
              <w:rPr>
                <w:b/>
                <w:color w:val="FFFFFF"/>
                <w:sz w:val="14"/>
              </w:rPr>
              <w:t>Source</w:t>
            </w:r>
          </w:p>
        </w:tc>
        <w:tc>
          <w:tcPr>
            <w:tcW w:type="dxa" w:w="1752"/>
            <w:shd w:fill="18304A"/>
          </w:tcPr>
          <w:p>
            <w:r>
              <w:rPr>
                <w:b/>
                <w:color w:val="FFFFFF"/>
                <w:sz w:val="14"/>
              </w:rPr>
              <w:t>Planning note</w:t>
            </w:r>
          </w:p>
        </w:tc>
      </w:tr>
      <w:tr>
        <w:tc>
          <w:tcPr>
            <w:tcW w:type="dxa" w:w="1752"/>
            <w:vAlign w:val="center"/>
          </w:tcPr>
          <w:p>
            <w:r>
              <w:rPr>
                <w:sz w:val="14"/>
              </w:rPr>
              <w:t>Aquatics</w:t>
            </w:r>
          </w:p>
        </w:tc>
        <w:tc>
          <w:tcPr>
            <w:tcW w:type="dxa" w:w="1752"/>
            <w:vAlign w:val="center"/>
          </w:tcPr>
          <w:p>
            <w:r>
              <w:rPr>
                <w:sz w:val="14"/>
              </w:rPr>
              <w:t>Partner/off-site</w:t>
            </w:r>
          </w:p>
        </w:tc>
        <w:tc>
          <w:tcPr>
            <w:tcW w:type="dxa" w:w="1752"/>
            <w:vAlign w:val="center"/>
          </w:tcPr>
          <w:p>
            <w:r>
              <w:rPr>
                <w:sz w:val="14"/>
              </w:rPr>
              <w:t>4</w:t>
            </w:r>
          </w:p>
        </w:tc>
        <w:tc>
          <w:tcPr>
            <w:tcW w:type="dxa" w:w="1752"/>
            <w:vAlign w:val="center"/>
          </w:tcPr>
          <w:p>
            <w:r>
              <w:rPr>
                <w:sz w:val="14"/>
              </w:rPr>
              <w:t>Rs.5,000/mo</w:t>
            </w:r>
          </w:p>
        </w:tc>
        <w:tc>
          <w:tcPr>
            <w:tcW w:type="dxa" w:w="1752"/>
            <w:vAlign w:val="center"/>
          </w:tcPr>
          <w:p>
            <w:r>
              <w:rPr>
                <w:sz w:val="14"/>
              </w:rPr>
              <w:t>S01/S03</w:t>
            </w:r>
          </w:p>
        </w:tc>
        <w:tc>
          <w:tcPr>
            <w:tcW w:type="dxa" w:w="1752"/>
            <w:vAlign w:val="center"/>
          </w:tcPr>
          <w:p>
            <w:r>
              <w:rPr>
                <w:sz w:val="14"/>
              </w:rPr>
              <w:t>Swimming foundation 4+; disciplines by partner</w:t>
            </w:r>
          </w:p>
        </w:tc>
      </w:tr>
      <w:tr>
        <w:tc>
          <w:tcPr>
            <w:tcW w:type="dxa" w:w="1752"/>
            <w:vAlign w:val="center"/>
          </w:tcPr>
          <w:p>
            <w:r>
              <w:rPr>
                <w:sz w:val="14"/>
              </w:rPr>
              <w:t>Archery</w:t>
            </w:r>
          </w:p>
        </w:tc>
        <w:tc>
          <w:tcPr>
            <w:tcW w:type="dxa" w:w="1752"/>
            <w:vAlign w:val="center"/>
          </w:tcPr>
          <w:p>
            <w:r>
              <w:rPr>
                <w:sz w:val="14"/>
              </w:rPr>
              <w:t>On-site</w:t>
            </w:r>
          </w:p>
        </w:tc>
        <w:tc>
          <w:tcPr>
            <w:tcW w:type="dxa" w:w="1752"/>
            <w:vAlign w:val="center"/>
          </w:tcPr>
          <w:p>
            <w:r>
              <w:rPr>
                <w:sz w:val="14"/>
              </w:rPr>
              <w:t>8</w:t>
            </w:r>
          </w:p>
        </w:tc>
        <w:tc>
          <w:tcPr>
            <w:tcW w:type="dxa" w:w="1752"/>
            <w:vAlign w:val="center"/>
          </w:tcPr>
          <w:p>
            <w:r>
              <w:rPr>
                <w:sz w:val="14"/>
              </w:rPr>
              <w:t>Rs.3,500/mo</w:t>
            </w:r>
          </w:p>
        </w:tc>
        <w:tc>
          <w:tcPr>
            <w:tcW w:type="dxa" w:w="1752"/>
            <w:vAlign w:val="center"/>
          </w:tcPr>
          <w:p>
            <w:r>
              <w:rPr>
                <w:sz w:val="14"/>
              </w:rPr>
              <w:t>S01</w:t>
            </w:r>
          </w:p>
        </w:tc>
        <w:tc>
          <w:tcPr>
            <w:tcW w:type="dxa" w:w="1752"/>
            <w:vAlign w:val="center"/>
          </w:tcPr>
          <w:p>
            <w:r>
              <w:rPr>
                <w:sz w:val="14"/>
              </w:rPr>
              <w:t>Dedicated safety lane</w:t>
            </w:r>
          </w:p>
        </w:tc>
      </w:tr>
      <w:tr>
        <w:tc>
          <w:tcPr>
            <w:tcW w:type="dxa" w:w="1752"/>
            <w:vAlign w:val="center"/>
          </w:tcPr>
          <w:p>
            <w:r>
              <w:rPr>
                <w:sz w:val="14"/>
              </w:rPr>
              <w:t>Athletics</w:t>
            </w:r>
          </w:p>
        </w:tc>
        <w:tc>
          <w:tcPr>
            <w:tcW w:type="dxa" w:w="1752"/>
            <w:vAlign w:val="center"/>
          </w:tcPr>
          <w:p>
            <w:r>
              <w:rPr>
                <w:sz w:val="14"/>
              </w:rPr>
              <w:t>On-site</w:t>
            </w:r>
          </w:p>
        </w:tc>
        <w:tc>
          <w:tcPr>
            <w:tcW w:type="dxa" w:w="1752"/>
            <w:vAlign w:val="center"/>
          </w:tcPr>
          <w:p>
            <w:r>
              <w:rPr>
                <w:sz w:val="14"/>
              </w:rPr>
              <w:t>4</w:t>
            </w:r>
          </w:p>
        </w:tc>
        <w:tc>
          <w:tcPr>
            <w:tcW w:type="dxa" w:w="1752"/>
            <w:vAlign w:val="center"/>
          </w:tcPr>
          <w:p>
            <w:r>
              <w:rPr>
                <w:sz w:val="14"/>
              </w:rPr>
              <w:t>Rs.3,000/mo</w:t>
            </w:r>
          </w:p>
        </w:tc>
        <w:tc>
          <w:tcPr>
            <w:tcW w:type="dxa" w:w="1752"/>
            <w:vAlign w:val="center"/>
          </w:tcPr>
          <w:p>
            <w:r>
              <w:rPr>
                <w:sz w:val="14"/>
              </w:rPr>
              <w:t>S01</w:t>
            </w:r>
          </w:p>
        </w:tc>
        <w:tc>
          <w:tcPr>
            <w:tcW w:type="dxa" w:w="1752"/>
            <w:vAlign w:val="center"/>
          </w:tcPr>
          <w:p>
            <w:r>
              <w:rPr>
                <w:sz w:val="14"/>
              </w:rPr>
              <w:t>Foundation running/jumping/throwing</w:t>
            </w:r>
          </w:p>
        </w:tc>
      </w:tr>
      <w:tr>
        <w:tc>
          <w:tcPr>
            <w:tcW w:type="dxa" w:w="1752"/>
            <w:vAlign w:val="center"/>
          </w:tcPr>
          <w:p>
            <w:r>
              <w:rPr>
                <w:sz w:val="14"/>
              </w:rPr>
              <w:t>Badminton</w:t>
            </w:r>
          </w:p>
        </w:tc>
        <w:tc>
          <w:tcPr>
            <w:tcW w:type="dxa" w:w="1752"/>
            <w:vAlign w:val="center"/>
          </w:tcPr>
          <w:p>
            <w:r>
              <w:rPr>
                <w:sz w:val="14"/>
              </w:rPr>
              <w:t>On-site/covered</w:t>
            </w:r>
          </w:p>
        </w:tc>
        <w:tc>
          <w:tcPr>
            <w:tcW w:type="dxa" w:w="1752"/>
            <w:vAlign w:val="center"/>
          </w:tcPr>
          <w:p>
            <w:r>
              <w:rPr>
                <w:sz w:val="14"/>
              </w:rPr>
              <w:t>5</w:t>
            </w:r>
          </w:p>
        </w:tc>
        <w:tc>
          <w:tcPr>
            <w:tcW w:type="dxa" w:w="1752"/>
            <w:vAlign w:val="center"/>
          </w:tcPr>
          <w:p>
            <w:r>
              <w:rPr>
                <w:sz w:val="14"/>
              </w:rPr>
              <w:t>Rs.3,500/mo</w:t>
            </w:r>
          </w:p>
        </w:tc>
        <w:tc>
          <w:tcPr>
            <w:tcW w:type="dxa" w:w="1752"/>
            <w:vAlign w:val="center"/>
          </w:tcPr>
          <w:p>
            <w:r>
              <w:rPr>
                <w:sz w:val="14"/>
              </w:rPr>
              <w:t>S01</w:t>
            </w:r>
          </w:p>
        </w:tc>
        <w:tc>
          <w:tcPr>
            <w:tcW w:type="dxa" w:w="1752"/>
            <w:vAlign w:val="center"/>
          </w:tcPr>
          <w:p>
            <w:r>
              <w:rPr>
                <w:sz w:val="14"/>
              </w:rPr>
              <w:t>Covered courts</w:t>
            </w:r>
          </w:p>
        </w:tc>
      </w:tr>
      <w:tr>
        <w:tc>
          <w:tcPr>
            <w:tcW w:type="dxa" w:w="1752"/>
            <w:vAlign w:val="center"/>
          </w:tcPr>
          <w:p>
            <w:r>
              <w:rPr>
                <w:sz w:val="14"/>
              </w:rPr>
              <w:t>Baseball/Softball</w:t>
            </w:r>
          </w:p>
        </w:tc>
        <w:tc>
          <w:tcPr>
            <w:tcW w:type="dxa" w:w="1752"/>
            <w:vAlign w:val="center"/>
          </w:tcPr>
          <w:p>
            <w:r>
              <w:rPr>
                <w:sz w:val="14"/>
              </w:rPr>
              <w:t>On-site/partner</w:t>
            </w:r>
          </w:p>
        </w:tc>
        <w:tc>
          <w:tcPr>
            <w:tcW w:type="dxa" w:w="1752"/>
            <w:vAlign w:val="center"/>
          </w:tcPr>
          <w:p>
            <w:r>
              <w:rPr>
                <w:sz w:val="14"/>
              </w:rPr>
              <w:t>6</w:t>
            </w:r>
          </w:p>
        </w:tc>
        <w:tc>
          <w:tcPr>
            <w:tcW w:type="dxa" w:w="1752"/>
            <w:vAlign w:val="center"/>
          </w:tcPr>
          <w:p>
            <w:r>
              <w:rPr>
                <w:sz w:val="14"/>
              </w:rPr>
              <w:t>Rs.3,000/mo</w:t>
            </w:r>
          </w:p>
        </w:tc>
        <w:tc>
          <w:tcPr>
            <w:tcW w:type="dxa" w:w="1752"/>
            <w:vAlign w:val="center"/>
          </w:tcPr>
          <w:p>
            <w:r>
              <w:rPr>
                <w:sz w:val="14"/>
              </w:rPr>
              <w:t>S01/S02</w:t>
            </w:r>
          </w:p>
        </w:tc>
        <w:tc>
          <w:tcPr>
            <w:tcW w:type="dxa" w:w="1752"/>
            <w:vAlign w:val="center"/>
          </w:tcPr>
          <w:p>
            <w:r>
              <w:rPr>
                <w:sz w:val="14"/>
              </w:rPr>
              <w:t>Shared field / cages</w:t>
            </w:r>
          </w:p>
        </w:tc>
      </w:tr>
      <w:tr>
        <w:tc>
          <w:tcPr>
            <w:tcW w:type="dxa" w:w="1752"/>
            <w:vAlign w:val="center"/>
          </w:tcPr>
          <w:p>
            <w:r>
              <w:rPr>
                <w:sz w:val="14"/>
              </w:rPr>
              <w:t>Basketball</w:t>
            </w:r>
          </w:p>
        </w:tc>
        <w:tc>
          <w:tcPr>
            <w:tcW w:type="dxa" w:w="1752"/>
            <w:vAlign w:val="center"/>
          </w:tcPr>
          <w:p>
            <w:r>
              <w:rPr>
                <w:sz w:val="14"/>
              </w:rPr>
              <w:t>On-site</w:t>
            </w:r>
          </w:p>
        </w:tc>
        <w:tc>
          <w:tcPr>
            <w:tcW w:type="dxa" w:w="1752"/>
            <w:vAlign w:val="center"/>
          </w:tcPr>
          <w:p>
            <w:r>
              <w:rPr>
                <w:sz w:val="14"/>
              </w:rPr>
              <w:t>5</w:t>
            </w:r>
          </w:p>
        </w:tc>
        <w:tc>
          <w:tcPr>
            <w:tcW w:type="dxa" w:w="1752"/>
            <w:vAlign w:val="center"/>
          </w:tcPr>
          <w:p>
            <w:r>
              <w:rPr>
                <w:sz w:val="14"/>
              </w:rPr>
              <w:t>Rs.3,000/mo</w:t>
            </w:r>
          </w:p>
        </w:tc>
        <w:tc>
          <w:tcPr>
            <w:tcW w:type="dxa" w:w="1752"/>
            <w:vAlign w:val="center"/>
          </w:tcPr>
          <w:p>
            <w:r>
              <w:rPr>
                <w:sz w:val="14"/>
              </w:rPr>
              <w:t>S01</w:t>
            </w:r>
          </w:p>
        </w:tc>
        <w:tc>
          <w:tcPr>
            <w:tcW w:type="dxa" w:w="1752"/>
            <w:vAlign w:val="center"/>
          </w:tcPr>
          <w:p>
            <w:r>
              <w:rPr>
                <w:sz w:val="14"/>
              </w:rPr>
              <w:t>Mini basketball</w:t>
            </w:r>
          </w:p>
        </w:tc>
      </w:tr>
      <w:tr>
        <w:tc>
          <w:tcPr>
            <w:tcW w:type="dxa" w:w="1752"/>
            <w:vAlign w:val="center"/>
          </w:tcPr>
          <w:p>
            <w:r>
              <w:rPr>
                <w:sz w:val="14"/>
              </w:rPr>
              <w:t>Boxing</w:t>
            </w:r>
          </w:p>
        </w:tc>
        <w:tc>
          <w:tcPr>
            <w:tcW w:type="dxa" w:w="1752"/>
            <w:vAlign w:val="center"/>
          </w:tcPr>
          <w:p>
            <w:r>
              <w:rPr>
                <w:sz w:val="14"/>
              </w:rPr>
              <w:t>On-site</w:t>
            </w:r>
          </w:p>
        </w:tc>
        <w:tc>
          <w:tcPr>
            <w:tcW w:type="dxa" w:w="1752"/>
            <w:vAlign w:val="center"/>
          </w:tcPr>
          <w:p>
            <w:r>
              <w:rPr>
                <w:sz w:val="14"/>
              </w:rPr>
              <w:t>10</w:t>
            </w:r>
          </w:p>
        </w:tc>
        <w:tc>
          <w:tcPr>
            <w:tcW w:type="dxa" w:w="1752"/>
            <w:vAlign w:val="center"/>
          </w:tcPr>
          <w:p>
            <w:r>
              <w:rPr>
                <w:sz w:val="14"/>
              </w:rPr>
              <w:t>Rs.3,500/mo</w:t>
            </w:r>
          </w:p>
        </w:tc>
        <w:tc>
          <w:tcPr>
            <w:tcW w:type="dxa" w:w="1752"/>
            <w:vAlign w:val="center"/>
          </w:tcPr>
          <w:p>
            <w:r>
              <w:rPr>
                <w:sz w:val="14"/>
              </w:rPr>
              <w:t>S01</w:t>
            </w:r>
          </w:p>
        </w:tc>
        <w:tc>
          <w:tcPr>
            <w:tcW w:type="dxa" w:w="1752"/>
            <w:vAlign w:val="center"/>
          </w:tcPr>
          <w:p>
            <w:r>
              <w:rPr>
                <w:sz w:val="14"/>
              </w:rPr>
              <w:t>Non-contact fundamentals first</w:t>
            </w:r>
          </w:p>
        </w:tc>
      </w:tr>
      <w:tr>
        <w:tc>
          <w:tcPr>
            <w:tcW w:type="dxa" w:w="1752"/>
            <w:vAlign w:val="center"/>
          </w:tcPr>
          <w:p>
            <w:r>
              <w:rPr>
                <w:sz w:val="14"/>
              </w:rPr>
              <w:t>Canoe</w:t>
            </w:r>
          </w:p>
        </w:tc>
        <w:tc>
          <w:tcPr>
            <w:tcW w:type="dxa" w:w="1752"/>
            <w:vAlign w:val="center"/>
          </w:tcPr>
          <w:p>
            <w:r>
              <w:rPr>
                <w:sz w:val="14"/>
              </w:rPr>
              <w:t>Partner/off-site</w:t>
            </w:r>
          </w:p>
        </w:tc>
        <w:tc>
          <w:tcPr>
            <w:tcW w:type="dxa" w:w="1752"/>
            <w:vAlign w:val="center"/>
          </w:tcPr>
          <w:p>
            <w:r>
              <w:rPr>
                <w:sz w:val="14"/>
              </w:rPr>
              <w:t>10</w:t>
            </w:r>
          </w:p>
        </w:tc>
        <w:tc>
          <w:tcPr>
            <w:tcW w:type="dxa" w:w="1752"/>
            <w:vAlign w:val="center"/>
          </w:tcPr>
          <w:p>
            <w:r>
              <w:rPr>
                <w:sz w:val="14"/>
              </w:rPr>
              <w:t>Rs.6,000/mo</w:t>
            </w:r>
          </w:p>
        </w:tc>
        <w:tc>
          <w:tcPr>
            <w:tcW w:type="dxa" w:w="1752"/>
            <w:vAlign w:val="center"/>
          </w:tcPr>
          <w:p>
            <w:r>
              <w:rPr>
                <w:sz w:val="14"/>
              </w:rPr>
              <w:t>S01</w:t>
            </w:r>
          </w:p>
        </w:tc>
        <w:tc>
          <w:tcPr>
            <w:tcW w:type="dxa" w:w="1752"/>
            <w:vAlign w:val="center"/>
          </w:tcPr>
          <w:p>
            <w:r>
              <w:rPr>
                <w:sz w:val="14"/>
              </w:rPr>
              <w:t>Partner water venue</w:t>
            </w:r>
          </w:p>
        </w:tc>
      </w:tr>
      <w:tr>
        <w:tc>
          <w:tcPr>
            <w:tcW w:type="dxa" w:w="1752"/>
            <w:vAlign w:val="center"/>
          </w:tcPr>
          <w:p>
            <w:r>
              <w:rPr>
                <w:sz w:val="14"/>
              </w:rPr>
              <w:t>Cricket</w:t>
            </w:r>
          </w:p>
        </w:tc>
        <w:tc>
          <w:tcPr>
            <w:tcW w:type="dxa" w:w="1752"/>
            <w:vAlign w:val="center"/>
          </w:tcPr>
          <w:p>
            <w:r>
              <w:rPr>
                <w:sz w:val="14"/>
              </w:rPr>
              <w:t>On-site</w:t>
            </w:r>
          </w:p>
        </w:tc>
        <w:tc>
          <w:tcPr>
            <w:tcW w:type="dxa" w:w="1752"/>
            <w:vAlign w:val="center"/>
          </w:tcPr>
          <w:p>
            <w:r>
              <w:rPr>
                <w:sz w:val="14"/>
              </w:rPr>
              <w:t>5</w:t>
            </w:r>
          </w:p>
        </w:tc>
        <w:tc>
          <w:tcPr>
            <w:tcW w:type="dxa" w:w="1752"/>
            <w:vAlign w:val="center"/>
          </w:tcPr>
          <w:p>
            <w:r>
              <w:rPr>
                <w:sz w:val="14"/>
              </w:rPr>
              <w:t>Rs.4,500/mo</w:t>
            </w:r>
          </w:p>
        </w:tc>
        <w:tc>
          <w:tcPr>
            <w:tcW w:type="dxa" w:w="1752"/>
            <w:vAlign w:val="center"/>
          </w:tcPr>
          <w:p>
            <w:r>
              <w:rPr>
                <w:sz w:val="14"/>
              </w:rPr>
              <w:t>S01/S02/S15</w:t>
            </w:r>
          </w:p>
        </w:tc>
        <w:tc>
          <w:tcPr>
            <w:tcW w:type="dxa" w:w="1752"/>
            <w:vAlign w:val="center"/>
          </w:tcPr>
          <w:p>
            <w:r>
              <w:rPr>
                <w:sz w:val="14"/>
              </w:rPr>
              <w:t>Commercial anchor</w:t>
            </w:r>
          </w:p>
        </w:tc>
      </w:tr>
    </w:tbl>
    <w:p>
      <w:r>
        <w:rPr>
          <w:i/>
          <w:color w:val="646464"/>
          <w:sz w:val="14"/>
        </w:rPr>
        <w:t>Sources / basis: S01-S03</w:t>
      </w:r>
    </w:p>
    <w:p>
      <w:r>
        <w:br w:type="page"/>
      </w:r>
    </w:p>
    <w:p>
      <w:pPr>
        <w:pStyle w:val="Heading1"/>
      </w:pPr>
      <w:r>
        <w:t>9. Olympic Sports Portfolio - Part 2</w:t>
      </w:r>
    </w:p>
    <w:p>
      <w:pPr>
        <w:spacing w:after="100"/>
      </w:pPr>
      <w:r>
        <w:t>The academy includes every sport on the current LA28 Olympic programme. The delivery model is deliberately mixed: core field/court sports are delivered on site; facility-intensive sports are hybrid or partner-led.</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1752"/>
            <w:shd w:fill="18304A"/>
          </w:tcPr>
          <w:p>
            <w:r>
              <w:rPr>
                <w:b/>
                <w:color w:val="FFFFFF"/>
                <w:sz w:val="14"/>
              </w:rPr>
              <w:t>Sport</w:t>
            </w:r>
          </w:p>
        </w:tc>
        <w:tc>
          <w:tcPr>
            <w:tcW w:type="dxa" w:w="1752"/>
            <w:shd w:fill="18304A"/>
          </w:tcPr>
          <w:p>
            <w:r>
              <w:rPr>
                <w:b/>
                <w:color w:val="FFFFFF"/>
                <w:sz w:val="14"/>
              </w:rPr>
              <w:t>Mode</w:t>
            </w:r>
          </w:p>
        </w:tc>
        <w:tc>
          <w:tcPr>
            <w:tcW w:type="dxa" w:w="1752"/>
            <w:shd w:fill="18304A"/>
          </w:tcPr>
          <w:p>
            <w:r>
              <w:rPr>
                <w:b/>
                <w:color w:val="FFFFFF"/>
                <w:sz w:val="14"/>
              </w:rPr>
              <w:t>Start age</w:t>
            </w:r>
          </w:p>
        </w:tc>
        <w:tc>
          <w:tcPr>
            <w:tcW w:type="dxa" w:w="1752"/>
            <w:shd w:fill="18304A"/>
          </w:tcPr>
          <w:p>
            <w:r>
              <w:rPr>
                <w:b/>
                <w:color w:val="FFFFFF"/>
                <w:sz w:val="14"/>
              </w:rPr>
              <w:t>Illustrative fee</w:t>
            </w:r>
          </w:p>
        </w:tc>
        <w:tc>
          <w:tcPr>
            <w:tcW w:type="dxa" w:w="1752"/>
            <w:shd w:fill="18304A"/>
          </w:tcPr>
          <w:p>
            <w:r>
              <w:rPr>
                <w:b/>
                <w:color w:val="FFFFFF"/>
                <w:sz w:val="14"/>
              </w:rPr>
              <w:t>Source</w:t>
            </w:r>
          </w:p>
        </w:tc>
        <w:tc>
          <w:tcPr>
            <w:tcW w:type="dxa" w:w="1752"/>
            <w:shd w:fill="18304A"/>
          </w:tcPr>
          <w:p>
            <w:r>
              <w:rPr>
                <w:b/>
                <w:color w:val="FFFFFF"/>
                <w:sz w:val="14"/>
              </w:rPr>
              <w:t>Planning note</w:t>
            </w:r>
          </w:p>
        </w:tc>
      </w:tr>
      <w:tr>
        <w:tc>
          <w:tcPr>
            <w:tcW w:type="dxa" w:w="1752"/>
            <w:vAlign w:val="center"/>
          </w:tcPr>
          <w:p>
            <w:r>
              <w:rPr>
                <w:sz w:val="14"/>
              </w:rPr>
              <w:t>Cycling</w:t>
            </w:r>
          </w:p>
        </w:tc>
        <w:tc>
          <w:tcPr>
            <w:tcW w:type="dxa" w:w="1752"/>
            <w:vAlign w:val="center"/>
          </w:tcPr>
          <w:p>
            <w:r>
              <w:rPr>
                <w:sz w:val="14"/>
              </w:rPr>
              <w:t>Hybrid</w:t>
            </w:r>
          </w:p>
        </w:tc>
        <w:tc>
          <w:tcPr>
            <w:tcW w:type="dxa" w:w="1752"/>
            <w:vAlign w:val="center"/>
          </w:tcPr>
          <w:p>
            <w:r>
              <w:rPr>
                <w:sz w:val="14"/>
              </w:rPr>
              <w:t>6</w:t>
            </w:r>
          </w:p>
        </w:tc>
        <w:tc>
          <w:tcPr>
            <w:tcW w:type="dxa" w:w="1752"/>
            <w:vAlign w:val="center"/>
          </w:tcPr>
          <w:p>
            <w:r>
              <w:rPr>
                <w:sz w:val="14"/>
              </w:rPr>
              <w:t>Rs.3,500/mo</w:t>
            </w:r>
          </w:p>
        </w:tc>
        <w:tc>
          <w:tcPr>
            <w:tcW w:type="dxa" w:w="1752"/>
            <w:vAlign w:val="center"/>
          </w:tcPr>
          <w:p>
            <w:r>
              <w:rPr>
                <w:sz w:val="14"/>
              </w:rPr>
              <w:t>S01</w:t>
            </w:r>
          </w:p>
        </w:tc>
        <w:tc>
          <w:tcPr>
            <w:tcW w:type="dxa" w:w="1752"/>
            <w:vAlign w:val="center"/>
          </w:tcPr>
          <w:p>
            <w:r>
              <w:rPr>
                <w:sz w:val="14"/>
              </w:rPr>
              <w:t>Skills circuit + partner</w:t>
            </w:r>
          </w:p>
        </w:tc>
      </w:tr>
      <w:tr>
        <w:tc>
          <w:tcPr>
            <w:tcW w:type="dxa" w:w="1752"/>
            <w:vAlign w:val="center"/>
          </w:tcPr>
          <w:p>
            <w:r>
              <w:rPr>
                <w:sz w:val="14"/>
              </w:rPr>
              <w:t>Equestrian</w:t>
            </w:r>
          </w:p>
        </w:tc>
        <w:tc>
          <w:tcPr>
            <w:tcW w:type="dxa" w:w="1752"/>
            <w:vAlign w:val="center"/>
          </w:tcPr>
          <w:p>
            <w:r>
              <w:rPr>
                <w:sz w:val="14"/>
              </w:rPr>
              <w:t>Partner/off-site</w:t>
            </w:r>
          </w:p>
        </w:tc>
        <w:tc>
          <w:tcPr>
            <w:tcW w:type="dxa" w:w="1752"/>
            <w:vAlign w:val="center"/>
          </w:tcPr>
          <w:p>
            <w:r>
              <w:rPr>
                <w:sz w:val="14"/>
              </w:rPr>
              <w:t>6</w:t>
            </w:r>
          </w:p>
        </w:tc>
        <w:tc>
          <w:tcPr>
            <w:tcW w:type="dxa" w:w="1752"/>
            <w:vAlign w:val="center"/>
          </w:tcPr>
          <w:p>
            <w:r>
              <w:rPr>
                <w:sz w:val="14"/>
              </w:rPr>
              <w:t>Rs.8,000/mo</w:t>
            </w:r>
          </w:p>
        </w:tc>
        <w:tc>
          <w:tcPr>
            <w:tcW w:type="dxa" w:w="1752"/>
            <w:vAlign w:val="center"/>
          </w:tcPr>
          <w:p>
            <w:r>
              <w:rPr>
                <w:sz w:val="14"/>
              </w:rPr>
              <w:t>S01</w:t>
            </w:r>
          </w:p>
        </w:tc>
        <w:tc>
          <w:tcPr>
            <w:tcW w:type="dxa" w:w="1752"/>
            <w:vAlign w:val="center"/>
          </w:tcPr>
          <w:p>
            <w:r>
              <w:rPr>
                <w:sz w:val="14"/>
              </w:rPr>
              <w:t>External stable</w:t>
            </w:r>
          </w:p>
        </w:tc>
      </w:tr>
      <w:tr>
        <w:tc>
          <w:tcPr>
            <w:tcW w:type="dxa" w:w="1752"/>
            <w:vAlign w:val="center"/>
          </w:tcPr>
          <w:p>
            <w:r>
              <w:rPr>
                <w:sz w:val="14"/>
              </w:rPr>
              <w:t>Fencing</w:t>
            </w:r>
          </w:p>
        </w:tc>
        <w:tc>
          <w:tcPr>
            <w:tcW w:type="dxa" w:w="1752"/>
            <w:vAlign w:val="center"/>
          </w:tcPr>
          <w:p>
            <w:r>
              <w:rPr>
                <w:sz w:val="14"/>
              </w:rPr>
              <w:t>On-site indoor</w:t>
            </w:r>
          </w:p>
        </w:tc>
        <w:tc>
          <w:tcPr>
            <w:tcW w:type="dxa" w:w="1752"/>
            <w:vAlign w:val="center"/>
          </w:tcPr>
          <w:p>
            <w:r>
              <w:rPr>
                <w:sz w:val="14"/>
              </w:rPr>
              <w:t>8</w:t>
            </w:r>
          </w:p>
        </w:tc>
        <w:tc>
          <w:tcPr>
            <w:tcW w:type="dxa" w:w="1752"/>
            <w:vAlign w:val="center"/>
          </w:tcPr>
          <w:p>
            <w:r>
              <w:rPr>
                <w:sz w:val="14"/>
              </w:rPr>
              <w:t>Rs.4,000/mo</w:t>
            </w:r>
          </w:p>
        </w:tc>
        <w:tc>
          <w:tcPr>
            <w:tcW w:type="dxa" w:w="1752"/>
            <w:vAlign w:val="center"/>
          </w:tcPr>
          <w:p>
            <w:r>
              <w:rPr>
                <w:sz w:val="14"/>
              </w:rPr>
              <w:t>S01</w:t>
            </w:r>
          </w:p>
        </w:tc>
        <w:tc>
          <w:tcPr>
            <w:tcW w:type="dxa" w:w="1752"/>
            <w:vAlign w:val="center"/>
          </w:tcPr>
          <w:p>
            <w:r>
              <w:rPr>
                <w:sz w:val="14"/>
              </w:rPr>
              <w:t>Portable pistes</w:t>
            </w:r>
          </w:p>
        </w:tc>
      </w:tr>
      <w:tr>
        <w:tc>
          <w:tcPr>
            <w:tcW w:type="dxa" w:w="1752"/>
            <w:vAlign w:val="center"/>
          </w:tcPr>
          <w:p>
            <w:r>
              <w:rPr>
                <w:sz w:val="14"/>
              </w:rPr>
              <w:t>Flag Football</w:t>
            </w:r>
          </w:p>
        </w:tc>
        <w:tc>
          <w:tcPr>
            <w:tcW w:type="dxa" w:w="1752"/>
            <w:vAlign w:val="center"/>
          </w:tcPr>
          <w:p>
            <w:r>
              <w:rPr>
                <w:sz w:val="14"/>
              </w:rPr>
              <w:t>On-site</w:t>
            </w:r>
          </w:p>
        </w:tc>
        <w:tc>
          <w:tcPr>
            <w:tcW w:type="dxa" w:w="1752"/>
            <w:vAlign w:val="center"/>
          </w:tcPr>
          <w:p>
            <w:r>
              <w:rPr>
                <w:sz w:val="14"/>
              </w:rPr>
              <w:t>6</w:t>
            </w:r>
          </w:p>
        </w:tc>
        <w:tc>
          <w:tcPr>
            <w:tcW w:type="dxa" w:w="1752"/>
            <w:vAlign w:val="center"/>
          </w:tcPr>
          <w:p>
            <w:r>
              <w:rPr>
                <w:sz w:val="14"/>
              </w:rPr>
              <w:t>Rs.3,000/mo</w:t>
            </w:r>
          </w:p>
        </w:tc>
        <w:tc>
          <w:tcPr>
            <w:tcW w:type="dxa" w:w="1752"/>
            <w:vAlign w:val="center"/>
          </w:tcPr>
          <w:p>
            <w:r>
              <w:rPr>
                <w:sz w:val="14"/>
              </w:rPr>
              <w:t>S01/S02</w:t>
            </w:r>
          </w:p>
        </w:tc>
        <w:tc>
          <w:tcPr>
            <w:tcW w:type="dxa" w:w="1752"/>
            <w:vAlign w:val="center"/>
          </w:tcPr>
          <w:p>
            <w:r>
              <w:rPr>
                <w:sz w:val="14"/>
              </w:rPr>
              <w:t>Low-contact field</w:t>
            </w:r>
          </w:p>
        </w:tc>
      </w:tr>
      <w:tr>
        <w:tc>
          <w:tcPr>
            <w:tcW w:type="dxa" w:w="1752"/>
            <w:vAlign w:val="center"/>
          </w:tcPr>
          <w:p>
            <w:r>
              <w:rPr>
                <w:sz w:val="14"/>
              </w:rPr>
              <w:t>Football</w:t>
            </w:r>
          </w:p>
        </w:tc>
        <w:tc>
          <w:tcPr>
            <w:tcW w:type="dxa" w:w="1752"/>
            <w:vAlign w:val="center"/>
          </w:tcPr>
          <w:p>
            <w:r>
              <w:rPr>
                <w:sz w:val="14"/>
              </w:rPr>
              <w:t>On-site</w:t>
            </w:r>
          </w:p>
        </w:tc>
        <w:tc>
          <w:tcPr>
            <w:tcW w:type="dxa" w:w="1752"/>
            <w:vAlign w:val="center"/>
          </w:tcPr>
          <w:p>
            <w:r>
              <w:rPr>
                <w:sz w:val="14"/>
              </w:rPr>
              <w:t>4</w:t>
            </w:r>
          </w:p>
        </w:tc>
        <w:tc>
          <w:tcPr>
            <w:tcW w:type="dxa" w:w="1752"/>
            <w:vAlign w:val="center"/>
          </w:tcPr>
          <w:p>
            <w:r>
              <w:rPr>
                <w:sz w:val="14"/>
              </w:rPr>
              <w:t>Rs.4,000/mo</w:t>
            </w:r>
          </w:p>
        </w:tc>
        <w:tc>
          <w:tcPr>
            <w:tcW w:type="dxa" w:w="1752"/>
            <w:vAlign w:val="center"/>
          </w:tcPr>
          <w:p>
            <w:r>
              <w:rPr>
                <w:sz w:val="14"/>
              </w:rPr>
              <w:t>S01/S13/S14</w:t>
            </w:r>
          </w:p>
        </w:tc>
        <w:tc>
          <w:tcPr>
            <w:tcW w:type="dxa" w:w="1752"/>
            <w:vAlign w:val="center"/>
          </w:tcPr>
          <w:p>
            <w:r>
              <w:rPr>
                <w:sz w:val="14"/>
              </w:rPr>
              <w:t>Commercial anchor</w:t>
            </w:r>
          </w:p>
        </w:tc>
      </w:tr>
      <w:tr>
        <w:tc>
          <w:tcPr>
            <w:tcW w:type="dxa" w:w="1752"/>
            <w:vAlign w:val="center"/>
          </w:tcPr>
          <w:p>
            <w:r>
              <w:rPr>
                <w:sz w:val="14"/>
              </w:rPr>
              <w:t>Golf</w:t>
            </w:r>
          </w:p>
        </w:tc>
        <w:tc>
          <w:tcPr>
            <w:tcW w:type="dxa" w:w="1752"/>
            <w:vAlign w:val="center"/>
          </w:tcPr>
          <w:p>
            <w:r>
              <w:rPr>
                <w:sz w:val="14"/>
              </w:rPr>
              <w:t>Partner/off-site</w:t>
            </w:r>
          </w:p>
        </w:tc>
        <w:tc>
          <w:tcPr>
            <w:tcW w:type="dxa" w:w="1752"/>
            <w:vAlign w:val="center"/>
          </w:tcPr>
          <w:p>
            <w:r>
              <w:rPr>
                <w:sz w:val="14"/>
              </w:rPr>
              <w:t>6</w:t>
            </w:r>
          </w:p>
        </w:tc>
        <w:tc>
          <w:tcPr>
            <w:tcW w:type="dxa" w:w="1752"/>
            <w:vAlign w:val="center"/>
          </w:tcPr>
          <w:p>
            <w:r>
              <w:rPr>
                <w:sz w:val="14"/>
              </w:rPr>
              <w:t>Rs.6,000/mo</w:t>
            </w:r>
          </w:p>
        </w:tc>
        <w:tc>
          <w:tcPr>
            <w:tcW w:type="dxa" w:w="1752"/>
            <w:vAlign w:val="center"/>
          </w:tcPr>
          <w:p>
            <w:r>
              <w:rPr>
                <w:sz w:val="14"/>
              </w:rPr>
              <w:t>S01</w:t>
            </w:r>
          </w:p>
        </w:tc>
        <w:tc>
          <w:tcPr>
            <w:tcW w:type="dxa" w:w="1752"/>
            <w:vAlign w:val="center"/>
          </w:tcPr>
          <w:p>
            <w:r>
              <w:rPr>
                <w:sz w:val="14"/>
              </w:rPr>
              <w:t>Simulator/short game + course</w:t>
            </w:r>
          </w:p>
        </w:tc>
      </w:tr>
      <w:tr>
        <w:tc>
          <w:tcPr>
            <w:tcW w:type="dxa" w:w="1752"/>
            <w:vAlign w:val="center"/>
          </w:tcPr>
          <w:p>
            <w:r>
              <w:rPr>
                <w:sz w:val="14"/>
              </w:rPr>
              <w:t>Gymnastics</w:t>
            </w:r>
          </w:p>
        </w:tc>
        <w:tc>
          <w:tcPr>
            <w:tcW w:type="dxa" w:w="1752"/>
            <w:vAlign w:val="center"/>
          </w:tcPr>
          <w:p>
            <w:r>
              <w:rPr>
                <w:sz w:val="14"/>
              </w:rPr>
              <w:t>On-site indoor</w:t>
            </w:r>
          </w:p>
        </w:tc>
        <w:tc>
          <w:tcPr>
            <w:tcW w:type="dxa" w:w="1752"/>
            <w:vAlign w:val="center"/>
          </w:tcPr>
          <w:p>
            <w:r>
              <w:rPr>
                <w:sz w:val="14"/>
              </w:rPr>
              <w:t>4</w:t>
            </w:r>
          </w:p>
        </w:tc>
        <w:tc>
          <w:tcPr>
            <w:tcW w:type="dxa" w:w="1752"/>
            <w:vAlign w:val="center"/>
          </w:tcPr>
          <w:p>
            <w:r>
              <w:rPr>
                <w:sz w:val="14"/>
              </w:rPr>
              <w:t>Rs.3,500/mo</w:t>
            </w:r>
          </w:p>
        </w:tc>
        <w:tc>
          <w:tcPr>
            <w:tcW w:type="dxa" w:w="1752"/>
            <w:vAlign w:val="center"/>
          </w:tcPr>
          <w:p>
            <w:r>
              <w:rPr>
                <w:sz w:val="14"/>
              </w:rPr>
              <w:t>S01</w:t>
            </w:r>
          </w:p>
        </w:tc>
        <w:tc>
          <w:tcPr>
            <w:tcW w:type="dxa" w:w="1752"/>
            <w:vAlign w:val="center"/>
          </w:tcPr>
          <w:p>
            <w:r>
              <w:rPr>
                <w:sz w:val="14"/>
              </w:rPr>
              <w:t>Foundation movement</w:t>
            </w:r>
          </w:p>
        </w:tc>
      </w:tr>
      <w:tr>
        <w:tc>
          <w:tcPr>
            <w:tcW w:type="dxa" w:w="1752"/>
            <w:vAlign w:val="center"/>
          </w:tcPr>
          <w:p>
            <w:r>
              <w:rPr>
                <w:sz w:val="14"/>
              </w:rPr>
              <w:t>Handball</w:t>
            </w:r>
          </w:p>
        </w:tc>
        <w:tc>
          <w:tcPr>
            <w:tcW w:type="dxa" w:w="1752"/>
            <w:vAlign w:val="center"/>
          </w:tcPr>
          <w:p>
            <w:r>
              <w:rPr>
                <w:sz w:val="14"/>
              </w:rPr>
              <w:t>On-site</w:t>
            </w:r>
          </w:p>
        </w:tc>
        <w:tc>
          <w:tcPr>
            <w:tcW w:type="dxa" w:w="1752"/>
            <w:vAlign w:val="center"/>
          </w:tcPr>
          <w:p>
            <w:r>
              <w:rPr>
                <w:sz w:val="14"/>
              </w:rPr>
              <w:t>7</w:t>
            </w:r>
          </w:p>
        </w:tc>
        <w:tc>
          <w:tcPr>
            <w:tcW w:type="dxa" w:w="1752"/>
            <w:vAlign w:val="center"/>
          </w:tcPr>
          <w:p>
            <w:r>
              <w:rPr>
                <w:sz w:val="14"/>
              </w:rPr>
              <w:t>Rs.3,000/mo</w:t>
            </w:r>
          </w:p>
        </w:tc>
        <w:tc>
          <w:tcPr>
            <w:tcW w:type="dxa" w:w="1752"/>
            <w:vAlign w:val="center"/>
          </w:tcPr>
          <w:p>
            <w:r>
              <w:rPr>
                <w:sz w:val="14"/>
              </w:rPr>
              <w:t>S01</w:t>
            </w:r>
          </w:p>
        </w:tc>
        <w:tc>
          <w:tcPr>
            <w:tcW w:type="dxa" w:w="1752"/>
            <w:vAlign w:val="center"/>
          </w:tcPr>
          <w:p>
            <w:r>
              <w:rPr>
                <w:sz w:val="14"/>
              </w:rPr>
              <w:t>Multi-use court</w:t>
            </w:r>
          </w:p>
        </w:tc>
      </w:tr>
      <w:tr>
        <w:tc>
          <w:tcPr>
            <w:tcW w:type="dxa" w:w="1752"/>
            <w:vAlign w:val="center"/>
          </w:tcPr>
          <w:p>
            <w:r>
              <w:rPr>
                <w:sz w:val="14"/>
              </w:rPr>
              <w:t>Hockey</w:t>
            </w:r>
          </w:p>
        </w:tc>
        <w:tc>
          <w:tcPr>
            <w:tcW w:type="dxa" w:w="1752"/>
            <w:vAlign w:val="center"/>
          </w:tcPr>
          <w:p>
            <w:r>
              <w:rPr>
                <w:sz w:val="14"/>
              </w:rPr>
              <w:t>On-site</w:t>
            </w:r>
          </w:p>
        </w:tc>
        <w:tc>
          <w:tcPr>
            <w:tcW w:type="dxa" w:w="1752"/>
            <w:vAlign w:val="center"/>
          </w:tcPr>
          <w:p>
            <w:r>
              <w:rPr>
                <w:sz w:val="14"/>
              </w:rPr>
              <w:t>6</w:t>
            </w:r>
          </w:p>
        </w:tc>
        <w:tc>
          <w:tcPr>
            <w:tcW w:type="dxa" w:w="1752"/>
            <w:vAlign w:val="center"/>
          </w:tcPr>
          <w:p>
            <w:r>
              <w:rPr>
                <w:sz w:val="14"/>
              </w:rPr>
              <w:t>Rs.3,500/mo</w:t>
            </w:r>
          </w:p>
        </w:tc>
        <w:tc>
          <w:tcPr>
            <w:tcW w:type="dxa" w:w="1752"/>
            <w:vAlign w:val="center"/>
          </w:tcPr>
          <w:p>
            <w:r>
              <w:rPr>
                <w:sz w:val="14"/>
              </w:rPr>
              <w:t>S01</w:t>
            </w:r>
          </w:p>
        </w:tc>
        <w:tc>
          <w:tcPr>
            <w:tcW w:type="dxa" w:w="1752"/>
            <w:vAlign w:val="center"/>
          </w:tcPr>
          <w:p>
            <w:r>
              <w:rPr>
                <w:sz w:val="14"/>
              </w:rPr>
              <w:t>Hockey5s/synthetic</w:t>
            </w:r>
          </w:p>
        </w:tc>
      </w:tr>
    </w:tbl>
    <w:p>
      <w:r>
        <w:rPr>
          <w:i/>
          <w:color w:val="646464"/>
          <w:sz w:val="14"/>
        </w:rPr>
        <w:t>Sources / basis: S01-S03</w:t>
      </w:r>
    </w:p>
    <w:p>
      <w:r>
        <w:br w:type="page"/>
      </w:r>
    </w:p>
    <w:p>
      <w:pPr>
        <w:pStyle w:val="Heading1"/>
      </w:pPr>
      <w:r>
        <w:t>10. Olympic Sports Portfolio - Part 3</w:t>
      </w:r>
    </w:p>
    <w:p>
      <w:pPr>
        <w:spacing w:after="100"/>
      </w:pPr>
      <w:r>
        <w:t>The academy includes every sport on the current LA28 Olympic programme. The delivery model is deliberately mixed: core field/court sports are delivered on site; facility-intensive sports are hybrid or partner-led.</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1752"/>
            <w:shd w:fill="18304A"/>
          </w:tcPr>
          <w:p>
            <w:r>
              <w:rPr>
                <w:b/>
                <w:color w:val="FFFFFF"/>
                <w:sz w:val="14"/>
              </w:rPr>
              <w:t>Sport</w:t>
            </w:r>
          </w:p>
        </w:tc>
        <w:tc>
          <w:tcPr>
            <w:tcW w:type="dxa" w:w="1752"/>
            <w:shd w:fill="18304A"/>
          </w:tcPr>
          <w:p>
            <w:r>
              <w:rPr>
                <w:b/>
                <w:color w:val="FFFFFF"/>
                <w:sz w:val="14"/>
              </w:rPr>
              <w:t>Mode</w:t>
            </w:r>
          </w:p>
        </w:tc>
        <w:tc>
          <w:tcPr>
            <w:tcW w:type="dxa" w:w="1752"/>
            <w:shd w:fill="18304A"/>
          </w:tcPr>
          <w:p>
            <w:r>
              <w:rPr>
                <w:b/>
                <w:color w:val="FFFFFF"/>
                <w:sz w:val="14"/>
              </w:rPr>
              <w:t>Start age</w:t>
            </w:r>
          </w:p>
        </w:tc>
        <w:tc>
          <w:tcPr>
            <w:tcW w:type="dxa" w:w="1752"/>
            <w:shd w:fill="18304A"/>
          </w:tcPr>
          <w:p>
            <w:r>
              <w:rPr>
                <w:b/>
                <w:color w:val="FFFFFF"/>
                <w:sz w:val="14"/>
              </w:rPr>
              <w:t>Illustrative fee</w:t>
            </w:r>
          </w:p>
        </w:tc>
        <w:tc>
          <w:tcPr>
            <w:tcW w:type="dxa" w:w="1752"/>
            <w:shd w:fill="18304A"/>
          </w:tcPr>
          <w:p>
            <w:r>
              <w:rPr>
                <w:b/>
                <w:color w:val="FFFFFF"/>
                <w:sz w:val="14"/>
              </w:rPr>
              <w:t>Source</w:t>
            </w:r>
          </w:p>
        </w:tc>
        <w:tc>
          <w:tcPr>
            <w:tcW w:type="dxa" w:w="1752"/>
            <w:shd w:fill="18304A"/>
          </w:tcPr>
          <w:p>
            <w:r>
              <w:rPr>
                <w:b/>
                <w:color w:val="FFFFFF"/>
                <w:sz w:val="14"/>
              </w:rPr>
              <w:t>Planning note</w:t>
            </w:r>
          </w:p>
        </w:tc>
      </w:tr>
      <w:tr>
        <w:tc>
          <w:tcPr>
            <w:tcW w:type="dxa" w:w="1752"/>
            <w:vAlign w:val="center"/>
          </w:tcPr>
          <w:p>
            <w:r>
              <w:rPr>
                <w:sz w:val="14"/>
              </w:rPr>
              <w:t>Judo</w:t>
            </w:r>
          </w:p>
        </w:tc>
        <w:tc>
          <w:tcPr>
            <w:tcW w:type="dxa" w:w="1752"/>
            <w:vAlign w:val="center"/>
          </w:tcPr>
          <w:p>
            <w:r>
              <w:rPr>
                <w:sz w:val="14"/>
              </w:rPr>
              <w:t>On-site indoor</w:t>
            </w:r>
          </w:p>
        </w:tc>
        <w:tc>
          <w:tcPr>
            <w:tcW w:type="dxa" w:w="1752"/>
            <w:vAlign w:val="center"/>
          </w:tcPr>
          <w:p>
            <w:r>
              <w:rPr>
                <w:sz w:val="14"/>
              </w:rPr>
              <w:t>5</w:t>
            </w:r>
          </w:p>
        </w:tc>
        <w:tc>
          <w:tcPr>
            <w:tcW w:type="dxa" w:w="1752"/>
            <w:vAlign w:val="center"/>
          </w:tcPr>
          <w:p>
            <w:r>
              <w:rPr>
                <w:sz w:val="14"/>
              </w:rPr>
              <w:t>Rs.3,000/mo</w:t>
            </w:r>
          </w:p>
        </w:tc>
        <w:tc>
          <w:tcPr>
            <w:tcW w:type="dxa" w:w="1752"/>
            <w:vAlign w:val="center"/>
          </w:tcPr>
          <w:p>
            <w:r>
              <w:rPr>
                <w:sz w:val="14"/>
              </w:rPr>
              <w:t>S01</w:t>
            </w:r>
          </w:p>
        </w:tc>
        <w:tc>
          <w:tcPr>
            <w:tcW w:type="dxa" w:w="1752"/>
            <w:vAlign w:val="center"/>
          </w:tcPr>
          <w:p>
            <w:r>
              <w:rPr>
                <w:sz w:val="14"/>
              </w:rPr>
              <w:t>Matted dojo</w:t>
            </w:r>
          </w:p>
        </w:tc>
      </w:tr>
      <w:tr>
        <w:tc>
          <w:tcPr>
            <w:tcW w:type="dxa" w:w="1752"/>
            <w:vAlign w:val="center"/>
          </w:tcPr>
          <w:p>
            <w:r>
              <w:rPr>
                <w:sz w:val="14"/>
              </w:rPr>
              <w:t>Lacrosse</w:t>
            </w:r>
          </w:p>
        </w:tc>
        <w:tc>
          <w:tcPr>
            <w:tcW w:type="dxa" w:w="1752"/>
            <w:vAlign w:val="center"/>
          </w:tcPr>
          <w:p>
            <w:r>
              <w:rPr>
                <w:sz w:val="14"/>
              </w:rPr>
              <w:t>On-site</w:t>
            </w:r>
          </w:p>
        </w:tc>
        <w:tc>
          <w:tcPr>
            <w:tcW w:type="dxa" w:w="1752"/>
            <w:vAlign w:val="center"/>
          </w:tcPr>
          <w:p>
            <w:r>
              <w:rPr>
                <w:sz w:val="14"/>
              </w:rPr>
              <w:t>8</w:t>
            </w:r>
          </w:p>
        </w:tc>
        <w:tc>
          <w:tcPr>
            <w:tcW w:type="dxa" w:w="1752"/>
            <w:vAlign w:val="center"/>
          </w:tcPr>
          <w:p>
            <w:r>
              <w:rPr>
                <w:sz w:val="14"/>
              </w:rPr>
              <w:t>Rs.3,000/mo</w:t>
            </w:r>
          </w:p>
        </w:tc>
        <w:tc>
          <w:tcPr>
            <w:tcW w:type="dxa" w:w="1752"/>
            <w:vAlign w:val="center"/>
          </w:tcPr>
          <w:p>
            <w:r>
              <w:rPr>
                <w:sz w:val="14"/>
              </w:rPr>
              <w:t>S01/S02</w:t>
            </w:r>
          </w:p>
        </w:tc>
        <w:tc>
          <w:tcPr>
            <w:tcW w:type="dxa" w:w="1752"/>
            <w:vAlign w:val="center"/>
          </w:tcPr>
          <w:p>
            <w:r>
              <w:rPr>
                <w:sz w:val="14"/>
              </w:rPr>
              <w:t>Sixes/shared field</w:t>
            </w:r>
          </w:p>
        </w:tc>
      </w:tr>
      <w:tr>
        <w:tc>
          <w:tcPr>
            <w:tcW w:type="dxa" w:w="1752"/>
            <w:vAlign w:val="center"/>
          </w:tcPr>
          <w:p>
            <w:r>
              <w:rPr>
                <w:sz w:val="14"/>
              </w:rPr>
              <w:t>Modern Pentathlon</w:t>
            </w:r>
          </w:p>
        </w:tc>
        <w:tc>
          <w:tcPr>
            <w:tcW w:type="dxa" w:w="1752"/>
            <w:vAlign w:val="center"/>
          </w:tcPr>
          <w:p>
            <w:r>
              <w:rPr>
                <w:sz w:val="14"/>
              </w:rPr>
              <w:t>Hybrid/partner</w:t>
            </w:r>
          </w:p>
        </w:tc>
        <w:tc>
          <w:tcPr>
            <w:tcW w:type="dxa" w:w="1752"/>
            <w:vAlign w:val="center"/>
          </w:tcPr>
          <w:p>
            <w:r>
              <w:rPr>
                <w:sz w:val="14"/>
              </w:rPr>
              <w:t>10</w:t>
            </w:r>
          </w:p>
        </w:tc>
        <w:tc>
          <w:tcPr>
            <w:tcW w:type="dxa" w:w="1752"/>
            <w:vAlign w:val="center"/>
          </w:tcPr>
          <w:p>
            <w:r>
              <w:rPr>
                <w:sz w:val="14"/>
              </w:rPr>
              <w:t>Rs.5,000/mo</w:t>
            </w:r>
          </w:p>
        </w:tc>
        <w:tc>
          <w:tcPr>
            <w:tcW w:type="dxa" w:w="1752"/>
            <w:vAlign w:val="center"/>
          </w:tcPr>
          <w:p>
            <w:r>
              <w:rPr>
                <w:sz w:val="14"/>
              </w:rPr>
              <w:t>S01</w:t>
            </w:r>
          </w:p>
        </w:tc>
        <w:tc>
          <w:tcPr>
            <w:tcW w:type="dxa" w:w="1752"/>
            <w:vAlign w:val="center"/>
          </w:tcPr>
          <w:p>
            <w:r>
              <w:rPr>
                <w:sz w:val="14"/>
              </w:rPr>
              <w:t>Run/laser on-site; swim/fencing shared</w:t>
            </w:r>
          </w:p>
        </w:tc>
      </w:tr>
      <w:tr>
        <w:tc>
          <w:tcPr>
            <w:tcW w:type="dxa" w:w="1752"/>
            <w:vAlign w:val="center"/>
          </w:tcPr>
          <w:p>
            <w:r>
              <w:rPr>
                <w:sz w:val="14"/>
              </w:rPr>
              <w:t>Rowing</w:t>
            </w:r>
          </w:p>
        </w:tc>
        <w:tc>
          <w:tcPr>
            <w:tcW w:type="dxa" w:w="1752"/>
            <w:vAlign w:val="center"/>
          </w:tcPr>
          <w:p>
            <w:r>
              <w:rPr>
                <w:sz w:val="14"/>
              </w:rPr>
              <w:t>Partner/off-site</w:t>
            </w:r>
          </w:p>
        </w:tc>
        <w:tc>
          <w:tcPr>
            <w:tcW w:type="dxa" w:w="1752"/>
            <w:vAlign w:val="center"/>
          </w:tcPr>
          <w:p>
            <w:r>
              <w:rPr>
                <w:sz w:val="14"/>
              </w:rPr>
              <w:t>10</w:t>
            </w:r>
          </w:p>
        </w:tc>
        <w:tc>
          <w:tcPr>
            <w:tcW w:type="dxa" w:w="1752"/>
            <w:vAlign w:val="center"/>
          </w:tcPr>
          <w:p>
            <w:r>
              <w:rPr>
                <w:sz w:val="14"/>
              </w:rPr>
              <w:t>Rs.6,000/mo</w:t>
            </w:r>
          </w:p>
        </w:tc>
        <w:tc>
          <w:tcPr>
            <w:tcW w:type="dxa" w:w="1752"/>
            <w:vAlign w:val="center"/>
          </w:tcPr>
          <w:p>
            <w:r>
              <w:rPr>
                <w:sz w:val="14"/>
              </w:rPr>
              <w:t>S01</w:t>
            </w:r>
          </w:p>
        </w:tc>
        <w:tc>
          <w:tcPr>
            <w:tcW w:type="dxa" w:w="1752"/>
            <w:vAlign w:val="center"/>
          </w:tcPr>
          <w:p>
            <w:r>
              <w:rPr>
                <w:sz w:val="14"/>
              </w:rPr>
              <w:t>Ergometers + water partner</w:t>
            </w:r>
          </w:p>
        </w:tc>
      </w:tr>
      <w:tr>
        <w:tc>
          <w:tcPr>
            <w:tcW w:type="dxa" w:w="1752"/>
            <w:vAlign w:val="center"/>
          </w:tcPr>
          <w:p>
            <w:r>
              <w:rPr>
                <w:sz w:val="14"/>
              </w:rPr>
              <w:t>Rugby</w:t>
            </w:r>
          </w:p>
        </w:tc>
        <w:tc>
          <w:tcPr>
            <w:tcW w:type="dxa" w:w="1752"/>
            <w:vAlign w:val="center"/>
          </w:tcPr>
          <w:p>
            <w:r>
              <w:rPr>
                <w:sz w:val="14"/>
              </w:rPr>
              <w:t>On-site</w:t>
            </w:r>
          </w:p>
        </w:tc>
        <w:tc>
          <w:tcPr>
            <w:tcW w:type="dxa" w:w="1752"/>
            <w:vAlign w:val="center"/>
          </w:tcPr>
          <w:p>
            <w:r>
              <w:rPr>
                <w:sz w:val="14"/>
              </w:rPr>
              <w:t>6</w:t>
            </w:r>
          </w:p>
        </w:tc>
        <w:tc>
          <w:tcPr>
            <w:tcW w:type="dxa" w:w="1752"/>
            <w:vAlign w:val="center"/>
          </w:tcPr>
          <w:p>
            <w:r>
              <w:rPr>
                <w:sz w:val="14"/>
              </w:rPr>
              <w:t>Rs.3,000/mo</w:t>
            </w:r>
          </w:p>
        </w:tc>
        <w:tc>
          <w:tcPr>
            <w:tcW w:type="dxa" w:w="1752"/>
            <w:vAlign w:val="center"/>
          </w:tcPr>
          <w:p>
            <w:r>
              <w:rPr>
                <w:sz w:val="14"/>
              </w:rPr>
              <w:t>S01</w:t>
            </w:r>
          </w:p>
        </w:tc>
        <w:tc>
          <w:tcPr>
            <w:tcW w:type="dxa" w:w="1752"/>
            <w:vAlign w:val="center"/>
          </w:tcPr>
          <w:p>
            <w:r>
              <w:rPr>
                <w:sz w:val="14"/>
              </w:rPr>
              <w:t>Tag rugby younger ages</w:t>
            </w:r>
          </w:p>
        </w:tc>
      </w:tr>
      <w:tr>
        <w:tc>
          <w:tcPr>
            <w:tcW w:type="dxa" w:w="1752"/>
            <w:vAlign w:val="center"/>
          </w:tcPr>
          <w:p>
            <w:r>
              <w:rPr>
                <w:sz w:val="14"/>
              </w:rPr>
              <w:t>Sailing</w:t>
            </w:r>
          </w:p>
        </w:tc>
        <w:tc>
          <w:tcPr>
            <w:tcW w:type="dxa" w:w="1752"/>
            <w:vAlign w:val="center"/>
          </w:tcPr>
          <w:p>
            <w:r>
              <w:rPr>
                <w:sz w:val="14"/>
              </w:rPr>
              <w:t>Partner/off-site</w:t>
            </w:r>
          </w:p>
        </w:tc>
        <w:tc>
          <w:tcPr>
            <w:tcW w:type="dxa" w:w="1752"/>
            <w:vAlign w:val="center"/>
          </w:tcPr>
          <w:p>
            <w:r>
              <w:rPr>
                <w:sz w:val="14"/>
              </w:rPr>
              <w:t>10</w:t>
            </w:r>
          </w:p>
        </w:tc>
        <w:tc>
          <w:tcPr>
            <w:tcW w:type="dxa" w:w="1752"/>
            <w:vAlign w:val="center"/>
          </w:tcPr>
          <w:p>
            <w:r>
              <w:rPr>
                <w:sz w:val="14"/>
              </w:rPr>
              <w:t>Rs.7,000/mo</w:t>
            </w:r>
          </w:p>
        </w:tc>
        <w:tc>
          <w:tcPr>
            <w:tcW w:type="dxa" w:w="1752"/>
            <w:vAlign w:val="center"/>
          </w:tcPr>
          <w:p>
            <w:r>
              <w:rPr>
                <w:sz w:val="14"/>
              </w:rPr>
              <w:t>S01</w:t>
            </w:r>
          </w:p>
        </w:tc>
        <w:tc>
          <w:tcPr>
            <w:tcW w:type="dxa" w:w="1752"/>
            <w:vAlign w:val="center"/>
          </w:tcPr>
          <w:p>
            <w:r>
              <w:rPr>
                <w:sz w:val="14"/>
              </w:rPr>
              <w:t>External water venue</w:t>
            </w:r>
          </w:p>
        </w:tc>
      </w:tr>
      <w:tr>
        <w:tc>
          <w:tcPr>
            <w:tcW w:type="dxa" w:w="1752"/>
            <w:vAlign w:val="center"/>
          </w:tcPr>
          <w:p>
            <w:r>
              <w:rPr>
                <w:sz w:val="14"/>
              </w:rPr>
              <w:t>Shooting</w:t>
            </w:r>
          </w:p>
        </w:tc>
        <w:tc>
          <w:tcPr>
            <w:tcW w:type="dxa" w:w="1752"/>
            <w:vAlign w:val="center"/>
          </w:tcPr>
          <w:p>
            <w:r>
              <w:rPr>
                <w:sz w:val="14"/>
              </w:rPr>
              <w:t>Regulated/partner</w:t>
            </w:r>
          </w:p>
        </w:tc>
        <w:tc>
          <w:tcPr>
            <w:tcW w:type="dxa" w:w="1752"/>
            <w:vAlign w:val="center"/>
          </w:tcPr>
          <w:p>
            <w:r>
              <w:rPr>
                <w:sz w:val="14"/>
              </w:rPr>
              <w:t>10</w:t>
            </w:r>
          </w:p>
        </w:tc>
        <w:tc>
          <w:tcPr>
            <w:tcW w:type="dxa" w:w="1752"/>
            <w:vAlign w:val="center"/>
          </w:tcPr>
          <w:p>
            <w:r>
              <w:rPr>
                <w:sz w:val="14"/>
              </w:rPr>
              <w:t>Rs.4,500/mo</w:t>
            </w:r>
          </w:p>
        </w:tc>
        <w:tc>
          <w:tcPr>
            <w:tcW w:type="dxa" w:w="1752"/>
            <w:vAlign w:val="center"/>
          </w:tcPr>
          <w:p>
            <w:r>
              <w:rPr>
                <w:sz w:val="14"/>
              </w:rPr>
              <w:t>S01</w:t>
            </w:r>
          </w:p>
        </w:tc>
        <w:tc>
          <w:tcPr>
            <w:tcW w:type="dxa" w:w="1752"/>
            <w:vAlign w:val="center"/>
          </w:tcPr>
          <w:p>
            <w:r>
              <w:rPr>
                <w:sz w:val="14"/>
              </w:rPr>
              <w:t>Laser/air subject to applicable laws/rules</w:t>
            </w:r>
          </w:p>
        </w:tc>
      </w:tr>
      <w:tr>
        <w:tc>
          <w:tcPr>
            <w:tcW w:type="dxa" w:w="1752"/>
            <w:vAlign w:val="center"/>
          </w:tcPr>
          <w:p>
            <w:r>
              <w:rPr>
                <w:sz w:val="14"/>
              </w:rPr>
              <w:t>Skateboarding</w:t>
            </w:r>
          </w:p>
        </w:tc>
        <w:tc>
          <w:tcPr>
            <w:tcW w:type="dxa" w:w="1752"/>
            <w:vAlign w:val="center"/>
          </w:tcPr>
          <w:p>
            <w:r>
              <w:rPr>
                <w:sz w:val="14"/>
              </w:rPr>
              <w:t>On-site</w:t>
            </w:r>
          </w:p>
        </w:tc>
        <w:tc>
          <w:tcPr>
            <w:tcW w:type="dxa" w:w="1752"/>
            <w:vAlign w:val="center"/>
          </w:tcPr>
          <w:p>
            <w:r>
              <w:rPr>
                <w:sz w:val="14"/>
              </w:rPr>
              <w:t>6</w:t>
            </w:r>
          </w:p>
        </w:tc>
        <w:tc>
          <w:tcPr>
            <w:tcW w:type="dxa" w:w="1752"/>
            <w:vAlign w:val="center"/>
          </w:tcPr>
          <w:p>
            <w:r>
              <w:rPr>
                <w:sz w:val="14"/>
              </w:rPr>
              <w:t>Rs.3,500/mo</w:t>
            </w:r>
          </w:p>
        </w:tc>
        <w:tc>
          <w:tcPr>
            <w:tcW w:type="dxa" w:w="1752"/>
            <w:vAlign w:val="center"/>
          </w:tcPr>
          <w:p>
            <w:r>
              <w:rPr>
                <w:sz w:val="14"/>
              </w:rPr>
              <w:t>S01</w:t>
            </w:r>
          </w:p>
        </w:tc>
        <w:tc>
          <w:tcPr>
            <w:tcW w:type="dxa" w:w="1752"/>
            <w:vAlign w:val="center"/>
          </w:tcPr>
          <w:p>
            <w:r>
              <w:rPr>
                <w:sz w:val="14"/>
              </w:rPr>
              <w:t>Skills park</w:t>
            </w:r>
          </w:p>
        </w:tc>
      </w:tr>
      <w:tr>
        <w:tc>
          <w:tcPr>
            <w:tcW w:type="dxa" w:w="1752"/>
            <w:vAlign w:val="center"/>
          </w:tcPr>
          <w:p>
            <w:r>
              <w:rPr>
                <w:sz w:val="14"/>
              </w:rPr>
              <w:t>Sport Climbing</w:t>
            </w:r>
          </w:p>
        </w:tc>
        <w:tc>
          <w:tcPr>
            <w:tcW w:type="dxa" w:w="1752"/>
            <w:vAlign w:val="center"/>
          </w:tcPr>
          <w:p>
            <w:r>
              <w:rPr>
                <w:sz w:val="14"/>
              </w:rPr>
              <w:t>On-site/partner</w:t>
            </w:r>
          </w:p>
        </w:tc>
        <w:tc>
          <w:tcPr>
            <w:tcW w:type="dxa" w:w="1752"/>
            <w:vAlign w:val="center"/>
          </w:tcPr>
          <w:p>
            <w:r>
              <w:rPr>
                <w:sz w:val="14"/>
              </w:rPr>
              <w:t>6</w:t>
            </w:r>
          </w:p>
        </w:tc>
        <w:tc>
          <w:tcPr>
            <w:tcW w:type="dxa" w:w="1752"/>
            <w:vAlign w:val="center"/>
          </w:tcPr>
          <w:p>
            <w:r>
              <w:rPr>
                <w:sz w:val="14"/>
              </w:rPr>
              <w:t>Rs.4,500/mo</w:t>
            </w:r>
          </w:p>
        </w:tc>
        <w:tc>
          <w:tcPr>
            <w:tcW w:type="dxa" w:w="1752"/>
            <w:vAlign w:val="center"/>
          </w:tcPr>
          <w:p>
            <w:r>
              <w:rPr>
                <w:sz w:val="14"/>
              </w:rPr>
              <w:t>S01</w:t>
            </w:r>
          </w:p>
        </w:tc>
        <w:tc>
          <w:tcPr>
            <w:tcW w:type="dxa" w:w="1752"/>
            <w:vAlign w:val="center"/>
          </w:tcPr>
          <w:p>
            <w:r>
              <w:rPr>
                <w:sz w:val="14"/>
              </w:rPr>
              <w:t>Engineered wall</w:t>
            </w:r>
          </w:p>
        </w:tc>
      </w:tr>
    </w:tbl>
    <w:p>
      <w:r>
        <w:rPr>
          <w:i/>
          <w:color w:val="646464"/>
          <w:sz w:val="14"/>
        </w:rPr>
        <w:t>Sources / basis: S01-S03</w:t>
      </w:r>
    </w:p>
    <w:p>
      <w:r>
        <w:br w:type="page"/>
      </w:r>
    </w:p>
    <w:p>
      <w:pPr>
        <w:pStyle w:val="Heading1"/>
      </w:pPr>
      <w:r>
        <w:t>11. Olympic Sports Portfolio - Part 4</w:t>
      </w:r>
    </w:p>
    <w:p>
      <w:pPr>
        <w:spacing w:after="100"/>
      </w:pPr>
      <w:r>
        <w:t>The academy includes every sport on the current LA28 Olympic programme. The delivery model is deliberately mixed: core field/court sports are delivered on site; facility-intensive sports are hybrid or partner-led.</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1752"/>
            <w:shd w:fill="18304A"/>
          </w:tcPr>
          <w:p>
            <w:r>
              <w:rPr>
                <w:b/>
                <w:color w:val="FFFFFF"/>
                <w:sz w:val="14"/>
              </w:rPr>
              <w:t>Sport</w:t>
            </w:r>
          </w:p>
        </w:tc>
        <w:tc>
          <w:tcPr>
            <w:tcW w:type="dxa" w:w="1752"/>
            <w:shd w:fill="18304A"/>
          </w:tcPr>
          <w:p>
            <w:r>
              <w:rPr>
                <w:b/>
                <w:color w:val="FFFFFF"/>
                <w:sz w:val="14"/>
              </w:rPr>
              <w:t>Mode</w:t>
            </w:r>
          </w:p>
        </w:tc>
        <w:tc>
          <w:tcPr>
            <w:tcW w:type="dxa" w:w="1752"/>
            <w:shd w:fill="18304A"/>
          </w:tcPr>
          <w:p>
            <w:r>
              <w:rPr>
                <w:b/>
                <w:color w:val="FFFFFF"/>
                <w:sz w:val="14"/>
              </w:rPr>
              <w:t>Start age</w:t>
            </w:r>
          </w:p>
        </w:tc>
        <w:tc>
          <w:tcPr>
            <w:tcW w:type="dxa" w:w="1752"/>
            <w:shd w:fill="18304A"/>
          </w:tcPr>
          <w:p>
            <w:r>
              <w:rPr>
                <w:b/>
                <w:color w:val="FFFFFF"/>
                <w:sz w:val="14"/>
              </w:rPr>
              <w:t>Illustrative fee</w:t>
            </w:r>
          </w:p>
        </w:tc>
        <w:tc>
          <w:tcPr>
            <w:tcW w:type="dxa" w:w="1752"/>
            <w:shd w:fill="18304A"/>
          </w:tcPr>
          <w:p>
            <w:r>
              <w:rPr>
                <w:b/>
                <w:color w:val="FFFFFF"/>
                <w:sz w:val="14"/>
              </w:rPr>
              <w:t>Source</w:t>
            </w:r>
          </w:p>
        </w:tc>
        <w:tc>
          <w:tcPr>
            <w:tcW w:type="dxa" w:w="1752"/>
            <w:shd w:fill="18304A"/>
          </w:tcPr>
          <w:p>
            <w:r>
              <w:rPr>
                <w:b/>
                <w:color w:val="FFFFFF"/>
                <w:sz w:val="14"/>
              </w:rPr>
              <w:t>Planning note</w:t>
            </w:r>
          </w:p>
        </w:tc>
      </w:tr>
      <w:tr>
        <w:tc>
          <w:tcPr>
            <w:tcW w:type="dxa" w:w="1752"/>
            <w:vAlign w:val="center"/>
          </w:tcPr>
          <w:p>
            <w:r>
              <w:rPr>
                <w:sz w:val="14"/>
              </w:rPr>
              <w:t>Squash</w:t>
            </w:r>
          </w:p>
        </w:tc>
        <w:tc>
          <w:tcPr>
            <w:tcW w:type="dxa" w:w="1752"/>
            <w:vAlign w:val="center"/>
          </w:tcPr>
          <w:p>
            <w:r>
              <w:rPr>
                <w:sz w:val="14"/>
              </w:rPr>
              <w:t>On-site indoor</w:t>
            </w:r>
          </w:p>
        </w:tc>
        <w:tc>
          <w:tcPr>
            <w:tcW w:type="dxa" w:w="1752"/>
            <w:vAlign w:val="center"/>
          </w:tcPr>
          <w:p>
            <w:r>
              <w:rPr>
                <w:sz w:val="14"/>
              </w:rPr>
              <w:t>7</w:t>
            </w:r>
          </w:p>
        </w:tc>
        <w:tc>
          <w:tcPr>
            <w:tcW w:type="dxa" w:w="1752"/>
            <w:vAlign w:val="center"/>
          </w:tcPr>
          <w:p>
            <w:r>
              <w:rPr>
                <w:sz w:val="14"/>
              </w:rPr>
              <w:t>Rs.4,500/mo</w:t>
            </w:r>
          </w:p>
        </w:tc>
        <w:tc>
          <w:tcPr>
            <w:tcW w:type="dxa" w:w="1752"/>
            <w:vAlign w:val="center"/>
          </w:tcPr>
          <w:p>
            <w:r>
              <w:rPr>
                <w:sz w:val="14"/>
              </w:rPr>
              <w:t>S01/S02</w:t>
            </w:r>
          </w:p>
        </w:tc>
        <w:tc>
          <w:tcPr>
            <w:tcW w:type="dxa" w:w="1752"/>
            <w:vAlign w:val="center"/>
          </w:tcPr>
          <w:p>
            <w:r>
              <w:rPr>
                <w:sz w:val="14"/>
              </w:rPr>
              <w:t>Indoor high utilisation</w:t>
            </w:r>
          </w:p>
        </w:tc>
      </w:tr>
      <w:tr>
        <w:tc>
          <w:tcPr>
            <w:tcW w:type="dxa" w:w="1752"/>
            <w:vAlign w:val="center"/>
          </w:tcPr>
          <w:p>
            <w:r>
              <w:rPr>
                <w:sz w:val="14"/>
              </w:rPr>
              <w:t>Surfing</w:t>
            </w:r>
          </w:p>
        </w:tc>
        <w:tc>
          <w:tcPr>
            <w:tcW w:type="dxa" w:w="1752"/>
            <w:vAlign w:val="center"/>
          </w:tcPr>
          <w:p>
            <w:r>
              <w:rPr>
                <w:sz w:val="14"/>
              </w:rPr>
              <w:t>Partner/off-site</w:t>
            </w:r>
          </w:p>
        </w:tc>
        <w:tc>
          <w:tcPr>
            <w:tcW w:type="dxa" w:w="1752"/>
            <w:vAlign w:val="center"/>
          </w:tcPr>
          <w:p>
            <w:r>
              <w:rPr>
                <w:sz w:val="14"/>
              </w:rPr>
              <w:t>10</w:t>
            </w:r>
          </w:p>
        </w:tc>
        <w:tc>
          <w:tcPr>
            <w:tcW w:type="dxa" w:w="1752"/>
            <w:vAlign w:val="center"/>
          </w:tcPr>
          <w:p>
            <w:r>
              <w:rPr>
                <w:sz w:val="14"/>
              </w:rPr>
              <w:t>Rs.8,000/mo</w:t>
            </w:r>
          </w:p>
        </w:tc>
        <w:tc>
          <w:tcPr>
            <w:tcW w:type="dxa" w:w="1752"/>
            <w:vAlign w:val="center"/>
          </w:tcPr>
          <w:p>
            <w:r>
              <w:rPr>
                <w:sz w:val="14"/>
              </w:rPr>
              <w:t>S01</w:t>
            </w:r>
          </w:p>
        </w:tc>
        <w:tc>
          <w:tcPr>
            <w:tcW w:type="dxa" w:w="1752"/>
            <w:vAlign w:val="center"/>
          </w:tcPr>
          <w:p>
            <w:r>
              <w:rPr>
                <w:sz w:val="14"/>
              </w:rPr>
              <w:t>Seasonal coastal camps</w:t>
            </w:r>
          </w:p>
        </w:tc>
      </w:tr>
      <w:tr>
        <w:tc>
          <w:tcPr>
            <w:tcW w:type="dxa" w:w="1752"/>
            <w:vAlign w:val="center"/>
          </w:tcPr>
          <w:p>
            <w:r>
              <w:rPr>
                <w:sz w:val="14"/>
              </w:rPr>
              <w:t>Table Tennis</w:t>
            </w:r>
          </w:p>
        </w:tc>
        <w:tc>
          <w:tcPr>
            <w:tcW w:type="dxa" w:w="1752"/>
            <w:vAlign w:val="center"/>
          </w:tcPr>
          <w:p>
            <w:r>
              <w:rPr>
                <w:sz w:val="14"/>
              </w:rPr>
              <w:t>On-site indoor</w:t>
            </w:r>
          </w:p>
        </w:tc>
        <w:tc>
          <w:tcPr>
            <w:tcW w:type="dxa" w:w="1752"/>
            <w:vAlign w:val="center"/>
          </w:tcPr>
          <w:p>
            <w:r>
              <w:rPr>
                <w:sz w:val="14"/>
              </w:rPr>
              <w:t>5</w:t>
            </w:r>
          </w:p>
        </w:tc>
        <w:tc>
          <w:tcPr>
            <w:tcW w:type="dxa" w:w="1752"/>
            <w:vAlign w:val="center"/>
          </w:tcPr>
          <w:p>
            <w:r>
              <w:rPr>
                <w:sz w:val="14"/>
              </w:rPr>
              <w:t>Rs.3,000/mo</w:t>
            </w:r>
          </w:p>
        </w:tc>
        <w:tc>
          <w:tcPr>
            <w:tcW w:type="dxa" w:w="1752"/>
            <w:vAlign w:val="center"/>
          </w:tcPr>
          <w:p>
            <w:r>
              <w:rPr>
                <w:sz w:val="14"/>
              </w:rPr>
              <w:t>S01</w:t>
            </w:r>
          </w:p>
        </w:tc>
        <w:tc>
          <w:tcPr>
            <w:tcW w:type="dxa" w:w="1752"/>
            <w:vAlign w:val="center"/>
          </w:tcPr>
          <w:p>
            <w:r>
              <w:rPr>
                <w:sz w:val="14"/>
              </w:rPr>
              <w:t>Low space</w:t>
            </w:r>
          </w:p>
        </w:tc>
      </w:tr>
      <w:tr>
        <w:tc>
          <w:tcPr>
            <w:tcW w:type="dxa" w:w="1752"/>
            <w:vAlign w:val="center"/>
          </w:tcPr>
          <w:p>
            <w:r>
              <w:rPr>
                <w:sz w:val="14"/>
              </w:rPr>
              <w:t>Taekwondo</w:t>
            </w:r>
          </w:p>
        </w:tc>
        <w:tc>
          <w:tcPr>
            <w:tcW w:type="dxa" w:w="1752"/>
            <w:vAlign w:val="center"/>
          </w:tcPr>
          <w:p>
            <w:r>
              <w:rPr>
                <w:sz w:val="14"/>
              </w:rPr>
              <w:t>On-site indoor</w:t>
            </w:r>
          </w:p>
        </w:tc>
        <w:tc>
          <w:tcPr>
            <w:tcW w:type="dxa" w:w="1752"/>
            <w:vAlign w:val="center"/>
          </w:tcPr>
          <w:p>
            <w:r>
              <w:rPr>
                <w:sz w:val="14"/>
              </w:rPr>
              <w:t>5</w:t>
            </w:r>
          </w:p>
        </w:tc>
        <w:tc>
          <w:tcPr>
            <w:tcW w:type="dxa" w:w="1752"/>
            <w:vAlign w:val="center"/>
          </w:tcPr>
          <w:p>
            <w:r>
              <w:rPr>
                <w:sz w:val="14"/>
              </w:rPr>
              <w:t>Rs.3,000/mo</w:t>
            </w:r>
          </w:p>
        </w:tc>
        <w:tc>
          <w:tcPr>
            <w:tcW w:type="dxa" w:w="1752"/>
            <w:vAlign w:val="center"/>
          </w:tcPr>
          <w:p>
            <w:r>
              <w:rPr>
                <w:sz w:val="14"/>
              </w:rPr>
              <w:t>S01</w:t>
            </w:r>
          </w:p>
        </w:tc>
        <w:tc>
          <w:tcPr>
            <w:tcW w:type="dxa" w:w="1752"/>
            <w:vAlign w:val="center"/>
          </w:tcPr>
          <w:p>
            <w:r>
              <w:rPr>
                <w:sz w:val="14"/>
              </w:rPr>
              <w:t>Matted studio</w:t>
            </w:r>
          </w:p>
        </w:tc>
      </w:tr>
      <w:tr>
        <w:tc>
          <w:tcPr>
            <w:tcW w:type="dxa" w:w="1752"/>
            <w:vAlign w:val="center"/>
          </w:tcPr>
          <w:p>
            <w:r>
              <w:rPr>
                <w:sz w:val="14"/>
              </w:rPr>
              <w:t>Tennis</w:t>
            </w:r>
          </w:p>
        </w:tc>
        <w:tc>
          <w:tcPr>
            <w:tcW w:type="dxa" w:w="1752"/>
            <w:vAlign w:val="center"/>
          </w:tcPr>
          <w:p>
            <w:r>
              <w:rPr>
                <w:sz w:val="14"/>
              </w:rPr>
              <w:t>On-site/partner</w:t>
            </w:r>
          </w:p>
        </w:tc>
        <w:tc>
          <w:tcPr>
            <w:tcW w:type="dxa" w:w="1752"/>
            <w:vAlign w:val="center"/>
          </w:tcPr>
          <w:p>
            <w:r>
              <w:rPr>
                <w:sz w:val="14"/>
              </w:rPr>
              <w:t>5</w:t>
            </w:r>
          </w:p>
        </w:tc>
        <w:tc>
          <w:tcPr>
            <w:tcW w:type="dxa" w:w="1752"/>
            <w:vAlign w:val="center"/>
          </w:tcPr>
          <w:p>
            <w:r>
              <w:rPr>
                <w:sz w:val="14"/>
              </w:rPr>
              <w:t>Rs.4,500/mo</w:t>
            </w:r>
          </w:p>
        </w:tc>
        <w:tc>
          <w:tcPr>
            <w:tcW w:type="dxa" w:w="1752"/>
            <w:vAlign w:val="center"/>
          </w:tcPr>
          <w:p>
            <w:r>
              <w:rPr>
                <w:sz w:val="14"/>
              </w:rPr>
              <w:t>S01</w:t>
            </w:r>
          </w:p>
        </w:tc>
        <w:tc>
          <w:tcPr>
            <w:tcW w:type="dxa" w:w="1752"/>
            <w:vAlign w:val="center"/>
          </w:tcPr>
          <w:p>
            <w:r>
              <w:rPr>
                <w:sz w:val="14"/>
              </w:rPr>
              <w:t>Mini tennis</w:t>
            </w:r>
          </w:p>
        </w:tc>
      </w:tr>
      <w:tr>
        <w:tc>
          <w:tcPr>
            <w:tcW w:type="dxa" w:w="1752"/>
            <w:vAlign w:val="center"/>
          </w:tcPr>
          <w:p>
            <w:r>
              <w:rPr>
                <w:sz w:val="14"/>
              </w:rPr>
              <w:t>Triathlon</w:t>
            </w:r>
          </w:p>
        </w:tc>
        <w:tc>
          <w:tcPr>
            <w:tcW w:type="dxa" w:w="1752"/>
            <w:vAlign w:val="center"/>
          </w:tcPr>
          <w:p>
            <w:r>
              <w:rPr>
                <w:sz w:val="14"/>
              </w:rPr>
              <w:t>Hybrid/partner</w:t>
            </w:r>
          </w:p>
        </w:tc>
        <w:tc>
          <w:tcPr>
            <w:tcW w:type="dxa" w:w="1752"/>
            <w:vAlign w:val="center"/>
          </w:tcPr>
          <w:p>
            <w:r>
              <w:rPr>
                <w:sz w:val="14"/>
              </w:rPr>
              <w:t>8</w:t>
            </w:r>
          </w:p>
        </w:tc>
        <w:tc>
          <w:tcPr>
            <w:tcW w:type="dxa" w:w="1752"/>
            <w:vAlign w:val="center"/>
          </w:tcPr>
          <w:p>
            <w:r>
              <w:rPr>
                <w:sz w:val="14"/>
              </w:rPr>
              <w:t>Rs.5,000/mo</w:t>
            </w:r>
          </w:p>
        </w:tc>
        <w:tc>
          <w:tcPr>
            <w:tcW w:type="dxa" w:w="1752"/>
            <w:vAlign w:val="center"/>
          </w:tcPr>
          <w:p>
            <w:r>
              <w:rPr>
                <w:sz w:val="14"/>
              </w:rPr>
              <w:t>S01</w:t>
            </w:r>
          </w:p>
        </w:tc>
        <w:tc>
          <w:tcPr>
            <w:tcW w:type="dxa" w:w="1752"/>
            <w:vAlign w:val="center"/>
          </w:tcPr>
          <w:p>
            <w:r>
              <w:rPr>
                <w:sz w:val="14"/>
              </w:rPr>
              <w:t>Run/bike on-site; swim partner</w:t>
            </w:r>
          </w:p>
        </w:tc>
      </w:tr>
      <w:tr>
        <w:tc>
          <w:tcPr>
            <w:tcW w:type="dxa" w:w="1752"/>
            <w:vAlign w:val="center"/>
          </w:tcPr>
          <w:p>
            <w:r>
              <w:rPr>
                <w:sz w:val="14"/>
              </w:rPr>
              <w:t>Volleyball</w:t>
            </w:r>
          </w:p>
        </w:tc>
        <w:tc>
          <w:tcPr>
            <w:tcW w:type="dxa" w:w="1752"/>
            <w:vAlign w:val="center"/>
          </w:tcPr>
          <w:p>
            <w:r>
              <w:rPr>
                <w:sz w:val="14"/>
              </w:rPr>
              <w:t>On-site</w:t>
            </w:r>
          </w:p>
        </w:tc>
        <w:tc>
          <w:tcPr>
            <w:tcW w:type="dxa" w:w="1752"/>
            <w:vAlign w:val="center"/>
          </w:tcPr>
          <w:p>
            <w:r>
              <w:rPr>
                <w:sz w:val="14"/>
              </w:rPr>
              <w:t>8</w:t>
            </w:r>
          </w:p>
        </w:tc>
        <w:tc>
          <w:tcPr>
            <w:tcW w:type="dxa" w:w="1752"/>
            <w:vAlign w:val="center"/>
          </w:tcPr>
          <w:p>
            <w:r>
              <w:rPr>
                <w:sz w:val="14"/>
              </w:rPr>
              <w:t>Rs.3,000/mo</w:t>
            </w:r>
          </w:p>
        </w:tc>
        <w:tc>
          <w:tcPr>
            <w:tcW w:type="dxa" w:w="1752"/>
            <w:vAlign w:val="center"/>
          </w:tcPr>
          <w:p>
            <w:r>
              <w:rPr>
                <w:sz w:val="14"/>
              </w:rPr>
              <w:t>S01</w:t>
            </w:r>
          </w:p>
        </w:tc>
        <w:tc>
          <w:tcPr>
            <w:tcW w:type="dxa" w:w="1752"/>
            <w:vAlign w:val="center"/>
          </w:tcPr>
          <w:p>
            <w:r>
              <w:rPr>
                <w:sz w:val="14"/>
              </w:rPr>
              <w:t>Indoor/outdoor</w:t>
            </w:r>
          </w:p>
        </w:tc>
      </w:tr>
      <w:tr>
        <w:tc>
          <w:tcPr>
            <w:tcW w:type="dxa" w:w="1752"/>
            <w:vAlign w:val="center"/>
          </w:tcPr>
          <w:p>
            <w:r>
              <w:rPr>
                <w:sz w:val="14"/>
              </w:rPr>
              <w:t>Weightlifting</w:t>
            </w:r>
          </w:p>
        </w:tc>
        <w:tc>
          <w:tcPr>
            <w:tcW w:type="dxa" w:w="1752"/>
            <w:vAlign w:val="center"/>
          </w:tcPr>
          <w:p>
            <w:r>
              <w:rPr>
                <w:sz w:val="14"/>
              </w:rPr>
              <w:t>On-site indoor</w:t>
            </w:r>
          </w:p>
        </w:tc>
        <w:tc>
          <w:tcPr>
            <w:tcW w:type="dxa" w:w="1752"/>
            <w:vAlign w:val="center"/>
          </w:tcPr>
          <w:p>
            <w:r>
              <w:rPr>
                <w:sz w:val="14"/>
              </w:rPr>
              <w:t>12</w:t>
            </w:r>
          </w:p>
        </w:tc>
        <w:tc>
          <w:tcPr>
            <w:tcW w:type="dxa" w:w="1752"/>
            <w:vAlign w:val="center"/>
          </w:tcPr>
          <w:p>
            <w:r>
              <w:rPr>
                <w:sz w:val="14"/>
              </w:rPr>
              <w:t>Rs.3,500/mo</w:t>
            </w:r>
          </w:p>
        </w:tc>
        <w:tc>
          <w:tcPr>
            <w:tcW w:type="dxa" w:w="1752"/>
            <w:vAlign w:val="center"/>
          </w:tcPr>
          <w:p>
            <w:r>
              <w:rPr>
                <w:sz w:val="14"/>
              </w:rPr>
              <w:t>S01</w:t>
            </w:r>
          </w:p>
        </w:tc>
        <w:tc>
          <w:tcPr>
            <w:tcW w:type="dxa" w:w="1752"/>
            <w:vAlign w:val="center"/>
          </w:tcPr>
          <w:p>
            <w:r>
              <w:rPr>
                <w:sz w:val="14"/>
              </w:rPr>
              <w:t>Technique / qualified supervision</w:t>
            </w:r>
          </w:p>
        </w:tc>
      </w:tr>
      <w:tr>
        <w:tc>
          <w:tcPr>
            <w:tcW w:type="dxa" w:w="1752"/>
            <w:vAlign w:val="center"/>
          </w:tcPr>
          <w:p>
            <w:r>
              <w:rPr>
                <w:sz w:val="14"/>
              </w:rPr>
              <w:t>Wrestling</w:t>
            </w:r>
          </w:p>
        </w:tc>
        <w:tc>
          <w:tcPr>
            <w:tcW w:type="dxa" w:w="1752"/>
            <w:vAlign w:val="center"/>
          </w:tcPr>
          <w:p>
            <w:r>
              <w:rPr>
                <w:sz w:val="14"/>
              </w:rPr>
              <w:t>On-site indoor</w:t>
            </w:r>
          </w:p>
        </w:tc>
        <w:tc>
          <w:tcPr>
            <w:tcW w:type="dxa" w:w="1752"/>
            <w:vAlign w:val="center"/>
          </w:tcPr>
          <w:p>
            <w:r>
              <w:rPr>
                <w:sz w:val="14"/>
              </w:rPr>
              <w:t>6</w:t>
            </w:r>
          </w:p>
        </w:tc>
        <w:tc>
          <w:tcPr>
            <w:tcW w:type="dxa" w:w="1752"/>
            <w:vAlign w:val="center"/>
          </w:tcPr>
          <w:p>
            <w:r>
              <w:rPr>
                <w:sz w:val="14"/>
              </w:rPr>
              <w:t>Rs.3,000/mo</w:t>
            </w:r>
          </w:p>
        </w:tc>
        <w:tc>
          <w:tcPr>
            <w:tcW w:type="dxa" w:w="1752"/>
            <w:vAlign w:val="center"/>
          </w:tcPr>
          <w:p>
            <w:r>
              <w:rPr>
                <w:sz w:val="14"/>
              </w:rPr>
              <w:t>S01</w:t>
            </w:r>
          </w:p>
        </w:tc>
        <w:tc>
          <w:tcPr>
            <w:tcW w:type="dxa" w:w="1752"/>
            <w:vAlign w:val="center"/>
          </w:tcPr>
          <w:p>
            <w:r>
              <w:rPr>
                <w:sz w:val="14"/>
              </w:rPr>
              <w:t>Matted area</w:t>
            </w:r>
          </w:p>
        </w:tc>
      </w:tr>
    </w:tbl>
    <w:p>
      <w:r>
        <w:rPr>
          <w:i/>
          <w:color w:val="646464"/>
          <w:sz w:val="14"/>
        </w:rPr>
        <w:t>Sources / basis: S01-S03</w:t>
      </w:r>
    </w:p>
    <w:p>
      <w:r>
        <w:br w:type="page"/>
      </w:r>
    </w:p>
    <w:p>
      <w:pPr>
        <w:pStyle w:val="Heading1"/>
      </w:pPr>
      <w:r>
        <w:t>12. Olympic Sports Delivery Strategy</w:t>
      </w:r>
    </w:p>
    <w:p>
      <w:pPr>
        <w:spacing w:after="100"/>
      </w:pPr>
      <w:r>
        <w:t>Competition-specification infrastructure for all 36 sports would be financially and physically irrational on five acres. Instead, the campus becomes a discovery and development hub. Aquatics, canoe, rowing, sailing, surfing, equestrian and full-course golf use partner venues. Modern pentathlon and triathlon use mixed on-site/off-site delivery.</w:t>
      </w:r>
    </w:p>
    <w:p>
      <w:pPr>
        <w:spacing w:after="100"/>
      </w:pPr>
      <w:r>
        <w:t>On-site capital should prioritize multi-use surfaces: grass field, hockey/synthetic zone, athletics/fitness loop, covered multi-court building, martial-arts/gymnastics rooms, climbing/skate areas and a regulated shooting/laser-training area subject to applicable approvals.</w:t>
      </w:r>
    </w:p>
    <w:p>
      <w:pPr>
        <w:pStyle w:val="ListBullet"/>
      </w:pPr>
      <w:r>
        <w:t>Tier A: on-site high-volume sports.</w:t>
      </w:r>
    </w:p>
    <w:p>
      <w:pPr>
        <w:pStyle w:val="ListBullet"/>
      </w:pPr>
      <w:r>
        <w:t>Tier B: on-site specialist/indoor sports.</w:t>
      </w:r>
    </w:p>
    <w:p>
      <w:pPr>
        <w:pStyle w:val="ListBullet"/>
      </w:pPr>
      <w:r>
        <w:t>Tier C: hybrid/off-site sports using revenue-share partners.</w:t>
      </w:r>
    </w:p>
    <w:p>
      <w:pPr>
        <w:pStyle w:val="ListBullet"/>
      </w:pPr>
      <w:r>
        <w:t>Tier D: seasonal camps and pathway referrals.</w:t>
      </w:r>
    </w:p>
    <w:p>
      <w:r>
        <w:br w:type="page"/>
      </w:r>
    </w:p>
    <w:p>
      <w:pPr>
        <w:pStyle w:val="Heading1"/>
      </w:pPr>
      <w:r>
        <w:t>13. 5-Acre Campus Masterplan</w:t>
      </w:r>
    </w:p>
    <w:p>
      <w:pPr>
        <w:spacing w:after="100"/>
      </w:pPr>
      <w:r>
        <w:t>The 5-acre plan must maximise use by time of day rather than dedicate the site to separate regulation-size venues. Shared spaces drive utilisation and lower capex.</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Zone</w:t>
            </w:r>
          </w:p>
        </w:tc>
        <w:tc>
          <w:tcPr>
            <w:tcW w:type="dxa" w:w="3504"/>
            <w:shd w:fill="18304A"/>
          </w:tcPr>
          <w:p>
            <w:r>
              <w:rPr>
                <w:b/>
                <w:color w:val="FFFFFF"/>
                <w:sz w:val="14"/>
              </w:rPr>
              <w:t>Indicative area</w:t>
            </w:r>
          </w:p>
        </w:tc>
        <w:tc>
          <w:tcPr>
            <w:tcW w:type="dxa" w:w="3504"/>
            <w:shd w:fill="18304A"/>
          </w:tcPr>
          <w:p>
            <w:r>
              <w:rPr>
                <w:b/>
                <w:color w:val="FFFFFF"/>
                <w:sz w:val="14"/>
              </w:rPr>
              <w:t>Functions</w:t>
            </w:r>
          </w:p>
        </w:tc>
      </w:tr>
      <w:tr>
        <w:tc>
          <w:tcPr>
            <w:tcW w:type="dxa" w:w="3504"/>
            <w:vAlign w:val="center"/>
          </w:tcPr>
          <w:p>
            <w:r>
              <w:rPr>
                <w:sz w:val="14"/>
              </w:rPr>
              <w:t>Main multi-sport grass field</w:t>
            </w:r>
          </w:p>
        </w:tc>
        <w:tc>
          <w:tcPr>
            <w:tcW w:type="dxa" w:w="3504"/>
            <w:vAlign w:val="center"/>
          </w:tcPr>
          <w:p>
            <w:r>
              <w:rPr>
                <w:sz w:val="14"/>
              </w:rPr>
              <w:t>2.0-2.2 acres</w:t>
            </w:r>
          </w:p>
        </w:tc>
        <w:tc>
          <w:tcPr>
            <w:tcW w:type="dxa" w:w="3504"/>
            <w:vAlign w:val="center"/>
          </w:tcPr>
          <w:p>
            <w:r>
              <w:rPr>
                <w:sz w:val="14"/>
              </w:rPr>
              <w:t>Football, cricket outfield, rugby, flag football, lacrosse, field training</w:t>
            </w:r>
          </w:p>
        </w:tc>
      </w:tr>
      <w:tr>
        <w:tc>
          <w:tcPr>
            <w:tcW w:type="dxa" w:w="3504"/>
            <w:vAlign w:val="center"/>
          </w:tcPr>
          <w:p>
            <w:r>
              <w:rPr>
                <w:sz w:val="14"/>
              </w:rPr>
              <w:t>Hockey / synthetic zone</w:t>
            </w:r>
          </w:p>
        </w:tc>
        <w:tc>
          <w:tcPr>
            <w:tcW w:type="dxa" w:w="3504"/>
            <w:vAlign w:val="center"/>
          </w:tcPr>
          <w:p>
            <w:r>
              <w:rPr>
                <w:sz w:val="14"/>
              </w:rPr>
              <w:t>0.45-0.60 acre</w:t>
            </w:r>
          </w:p>
        </w:tc>
        <w:tc>
          <w:tcPr>
            <w:tcW w:type="dxa" w:w="3504"/>
            <w:vAlign w:val="center"/>
          </w:tcPr>
          <w:p>
            <w:r>
              <w:rPr>
                <w:sz w:val="14"/>
              </w:rPr>
              <w:t>Hockey5s, small-sided football, training</w:t>
            </w:r>
          </w:p>
        </w:tc>
      </w:tr>
      <w:tr>
        <w:tc>
          <w:tcPr>
            <w:tcW w:type="dxa" w:w="3504"/>
            <w:vAlign w:val="center"/>
          </w:tcPr>
          <w:p>
            <w:r>
              <w:rPr>
                <w:sz w:val="14"/>
              </w:rPr>
              <w:t>Cricket square/nets</w:t>
            </w:r>
          </w:p>
        </w:tc>
        <w:tc>
          <w:tcPr>
            <w:tcW w:type="dxa" w:w="3504"/>
            <w:vAlign w:val="center"/>
          </w:tcPr>
          <w:p>
            <w:r>
              <w:rPr>
                <w:sz w:val="14"/>
              </w:rPr>
              <w:t>0.35-0.45 acre</w:t>
            </w:r>
          </w:p>
        </w:tc>
        <w:tc>
          <w:tcPr>
            <w:tcW w:type="dxa" w:w="3504"/>
            <w:vAlign w:val="center"/>
          </w:tcPr>
          <w:p>
            <w:r>
              <w:rPr>
                <w:sz w:val="14"/>
              </w:rPr>
              <w:t>Cricket academy, hourly rental</w:t>
            </w:r>
          </w:p>
        </w:tc>
      </w:tr>
      <w:tr>
        <w:tc>
          <w:tcPr>
            <w:tcW w:type="dxa" w:w="3504"/>
            <w:vAlign w:val="center"/>
          </w:tcPr>
          <w:p>
            <w:r>
              <w:rPr>
                <w:sz w:val="14"/>
              </w:rPr>
              <w:t>Covered multi-court / learning building</w:t>
            </w:r>
          </w:p>
        </w:tc>
        <w:tc>
          <w:tcPr>
            <w:tcW w:type="dxa" w:w="3504"/>
            <w:vAlign w:val="center"/>
          </w:tcPr>
          <w:p>
            <w:r>
              <w:rPr>
                <w:sz w:val="14"/>
              </w:rPr>
              <w:t>0.55-0.75 acre footprint</w:t>
            </w:r>
          </w:p>
        </w:tc>
        <w:tc>
          <w:tcPr>
            <w:tcW w:type="dxa" w:w="3504"/>
            <w:vAlign w:val="center"/>
          </w:tcPr>
          <w:p>
            <w:r>
              <w:rPr>
                <w:sz w:val="14"/>
              </w:rPr>
              <w:t>Badminton, basketball, volleyball, squash, TT, fencing, martial arts, academics</w:t>
            </w:r>
          </w:p>
        </w:tc>
      </w:tr>
      <w:tr>
        <w:tc>
          <w:tcPr>
            <w:tcW w:type="dxa" w:w="3504"/>
            <w:vAlign w:val="center"/>
          </w:tcPr>
          <w:p>
            <w:r>
              <w:rPr>
                <w:sz w:val="14"/>
              </w:rPr>
              <w:t>Family / residential / senior wing</w:t>
            </w:r>
          </w:p>
        </w:tc>
        <w:tc>
          <w:tcPr>
            <w:tcW w:type="dxa" w:w="3504"/>
            <w:vAlign w:val="center"/>
          </w:tcPr>
          <w:p>
            <w:r>
              <w:rPr>
                <w:sz w:val="14"/>
              </w:rPr>
              <w:t>0.45-0.65 acre footprint</w:t>
            </w:r>
          </w:p>
        </w:tc>
        <w:tc>
          <w:tcPr>
            <w:tcW w:type="dxa" w:w="3504"/>
            <w:vAlign w:val="center"/>
          </w:tcPr>
          <w:p>
            <w:r>
              <w:rPr>
                <w:sz w:val="14"/>
              </w:rPr>
              <w:t>After-school, residential, grandparents, dining</w:t>
            </w:r>
          </w:p>
        </w:tc>
      </w:tr>
      <w:tr>
        <w:tc>
          <w:tcPr>
            <w:tcW w:type="dxa" w:w="3504"/>
            <w:vAlign w:val="center"/>
          </w:tcPr>
          <w:p>
            <w:r>
              <w:rPr>
                <w:sz w:val="14"/>
              </w:rPr>
              <w:t>Cafe / health / admin / services</w:t>
            </w:r>
          </w:p>
        </w:tc>
        <w:tc>
          <w:tcPr>
            <w:tcW w:type="dxa" w:w="3504"/>
            <w:vAlign w:val="center"/>
          </w:tcPr>
          <w:p>
            <w:r>
              <w:rPr>
                <w:sz w:val="14"/>
              </w:rPr>
              <w:t>0.20-0.30 acre</w:t>
            </w:r>
          </w:p>
        </w:tc>
        <w:tc>
          <w:tcPr>
            <w:tcW w:type="dxa" w:w="3504"/>
            <w:vAlign w:val="center"/>
          </w:tcPr>
          <w:p>
            <w:r>
              <w:rPr>
                <w:sz w:val="14"/>
              </w:rPr>
              <w:t>Reception, cafe, physio, first aid, offices</w:t>
            </w:r>
          </w:p>
        </w:tc>
      </w:tr>
      <w:tr>
        <w:tc>
          <w:tcPr>
            <w:tcW w:type="dxa" w:w="3504"/>
            <w:vAlign w:val="center"/>
          </w:tcPr>
          <w:p>
            <w:r>
              <w:rPr>
                <w:sz w:val="14"/>
              </w:rPr>
              <w:t>Landscape / parking / drainage</w:t>
            </w:r>
          </w:p>
        </w:tc>
        <w:tc>
          <w:tcPr>
            <w:tcW w:type="dxa" w:w="3504"/>
            <w:vAlign w:val="center"/>
          </w:tcPr>
          <w:p>
            <w:r>
              <w:rPr>
                <w:sz w:val="14"/>
              </w:rPr>
              <w:t>Balance</w:t>
            </w:r>
          </w:p>
        </w:tc>
        <w:tc>
          <w:tcPr>
            <w:tcW w:type="dxa" w:w="3504"/>
            <w:vAlign w:val="center"/>
          </w:tcPr>
          <w:p>
            <w:r>
              <w:rPr>
                <w:sz w:val="14"/>
              </w:rPr>
              <w:t>Walking loop, safety buffers, service access</w:t>
            </w:r>
          </w:p>
        </w:tc>
      </w:tr>
    </w:tbl>
    <w:p>
      <w:r>
        <w:br w:type="page"/>
      </w:r>
    </w:p>
    <w:p>
      <w:pPr>
        <w:pStyle w:val="Heading1"/>
      </w:pPr>
      <w:r>
        <w:t>14. After-School Product - The Core Working-Parent Solution</w:t>
      </w:r>
    </w:p>
    <w:p>
      <w:pPr>
        <w:spacing w:after="100"/>
      </w:pPr>
      <w:r>
        <w:t>The commercial anchor outside sport is the extended-day programme. Children are received from school, fed, supervised, trained, supported academically and released only through controlled pickup procedures.</w:t>
      </w:r>
    </w:p>
    <w:p>
      <w:pPr>
        <w:spacing w:after="100"/>
      </w:pPr>
      <w:r>
        <w:t>For ages 4-6 the base case is extended day rather than routine overnight stay. Overnight residential should begin only after legal review, safeguarding design and market validation.</w:t>
      </w:r>
    </w:p>
    <w:tbl>
      <w:tblPr>
        <w:tblStyle w:val="TableGrid"/>
        <w:tblW w:type="auto" w:w="0"/>
        <w:jc w:val="center"/>
        <w:tblLook w:firstColumn="1" w:firstRow="1" w:lastColumn="0" w:lastRow="0" w:noHBand="0" w:noVBand="1" w:val="04A0"/>
      </w:tblPr>
      <w:tblGrid>
        <w:gridCol w:w="5256"/>
        <w:gridCol w:w="5256"/>
      </w:tblGrid>
      <w:tr>
        <w:tc>
          <w:tcPr>
            <w:tcW w:type="dxa" w:w="5256"/>
            <w:shd w:fill="18304A"/>
          </w:tcPr>
          <w:p>
            <w:r>
              <w:rPr>
                <w:b/>
                <w:color w:val="FFFFFF"/>
                <w:sz w:val="14"/>
              </w:rPr>
              <w:t>Time</w:t>
            </w:r>
          </w:p>
        </w:tc>
        <w:tc>
          <w:tcPr>
            <w:tcW w:type="dxa" w:w="5256"/>
            <w:shd w:fill="18304A"/>
          </w:tcPr>
          <w:p>
            <w:r>
              <w:rPr>
                <w:b/>
                <w:color w:val="FFFFFF"/>
                <w:sz w:val="14"/>
              </w:rPr>
              <w:t>Activity</w:t>
            </w:r>
          </w:p>
        </w:tc>
      </w:tr>
      <w:tr>
        <w:tc>
          <w:tcPr>
            <w:tcW w:type="dxa" w:w="5256"/>
            <w:vAlign w:val="center"/>
          </w:tcPr>
          <w:p>
            <w:r>
              <w:rPr>
                <w:sz w:val="14"/>
              </w:rPr>
              <w:t>3:00-3:30</w:t>
            </w:r>
          </w:p>
        </w:tc>
        <w:tc>
          <w:tcPr>
            <w:tcW w:type="dxa" w:w="5256"/>
            <w:vAlign w:val="center"/>
          </w:tcPr>
          <w:p>
            <w:r>
              <w:rPr>
                <w:sz w:val="14"/>
              </w:rPr>
              <w:t>School arrival / pickup and attendance</w:t>
            </w:r>
          </w:p>
        </w:tc>
      </w:tr>
      <w:tr>
        <w:tc>
          <w:tcPr>
            <w:tcW w:type="dxa" w:w="5256"/>
            <w:vAlign w:val="center"/>
          </w:tcPr>
          <w:p>
            <w:r>
              <w:rPr>
                <w:sz w:val="14"/>
              </w:rPr>
              <w:t>3:30-4:00</w:t>
            </w:r>
          </w:p>
        </w:tc>
        <w:tc>
          <w:tcPr>
            <w:tcW w:type="dxa" w:w="5256"/>
            <w:vAlign w:val="center"/>
          </w:tcPr>
          <w:p>
            <w:r>
              <w:rPr>
                <w:sz w:val="14"/>
              </w:rPr>
              <w:t>Snack, hydration, decompression</w:t>
            </w:r>
          </w:p>
        </w:tc>
      </w:tr>
      <w:tr>
        <w:tc>
          <w:tcPr>
            <w:tcW w:type="dxa" w:w="5256"/>
            <w:vAlign w:val="center"/>
          </w:tcPr>
          <w:p>
            <w:r>
              <w:rPr>
                <w:sz w:val="14"/>
              </w:rPr>
              <w:t>4:00-5:15</w:t>
            </w:r>
          </w:p>
        </w:tc>
        <w:tc>
          <w:tcPr>
            <w:tcW w:type="dxa" w:w="5256"/>
            <w:vAlign w:val="center"/>
          </w:tcPr>
          <w:p>
            <w:r>
              <w:rPr>
                <w:sz w:val="14"/>
              </w:rPr>
              <w:t>Age-appropriate sport / movement</w:t>
            </w:r>
          </w:p>
        </w:tc>
      </w:tr>
      <w:tr>
        <w:tc>
          <w:tcPr>
            <w:tcW w:type="dxa" w:w="5256"/>
            <w:vAlign w:val="center"/>
          </w:tcPr>
          <w:p>
            <w:r>
              <w:rPr>
                <w:sz w:val="14"/>
              </w:rPr>
              <w:t>5:15-5:45</w:t>
            </w:r>
          </w:p>
        </w:tc>
        <w:tc>
          <w:tcPr>
            <w:tcW w:type="dxa" w:w="5256"/>
            <w:vAlign w:val="center"/>
          </w:tcPr>
          <w:p>
            <w:r>
              <w:rPr>
                <w:sz w:val="14"/>
              </w:rPr>
              <w:t>Change / refresh</w:t>
            </w:r>
          </w:p>
        </w:tc>
      </w:tr>
      <w:tr>
        <w:tc>
          <w:tcPr>
            <w:tcW w:type="dxa" w:w="5256"/>
            <w:vAlign w:val="center"/>
          </w:tcPr>
          <w:p>
            <w:r>
              <w:rPr>
                <w:sz w:val="14"/>
              </w:rPr>
              <w:t>5:45-7:00</w:t>
            </w:r>
          </w:p>
        </w:tc>
        <w:tc>
          <w:tcPr>
            <w:tcW w:type="dxa" w:w="5256"/>
            <w:vAlign w:val="center"/>
          </w:tcPr>
          <w:p>
            <w:r>
              <w:rPr>
                <w:sz w:val="14"/>
              </w:rPr>
              <w:t>Homework / tutoring / reading</w:t>
            </w:r>
          </w:p>
        </w:tc>
      </w:tr>
      <w:tr>
        <w:tc>
          <w:tcPr>
            <w:tcW w:type="dxa" w:w="5256"/>
            <w:vAlign w:val="center"/>
          </w:tcPr>
          <w:p>
            <w:r>
              <w:rPr>
                <w:sz w:val="14"/>
              </w:rPr>
              <w:t>7:00-7:30</w:t>
            </w:r>
          </w:p>
        </w:tc>
        <w:tc>
          <w:tcPr>
            <w:tcW w:type="dxa" w:w="5256"/>
            <w:vAlign w:val="center"/>
          </w:tcPr>
          <w:p>
            <w:r>
              <w:rPr>
                <w:sz w:val="14"/>
              </w:rPr>
              <w:t>Leadership / free play / club</w:t>
            </w:r>
          </w:p>
        </w:tc>
      </w:tr>
      <w:tr>
        <w:tc>
          <w:tcPr>
            <w:tcW w:type="dxa" w:w="5256"/>
            <w:vAlign w:val="center"/>
          </w:tcPr>
          <w:p>
            <w:r>
              <w:rPr>
                <w:sz w:val="14"/>
              </w:rPr>
              <w:t>7:30-8:00</w:t>
            </w:r>
          </w:p>
        </w:tc>
        <w:tc>
          <w:tcPr>
            <w:tcW w:type="dxa" w:w="5256"/>
            <w:vAlign w:val="center"/>
          </w:tcPr>
          <w:p>
            <w:r>
              <w:rPr>
                <w:sz w:val="14"/>
              </w:rPr>
              <w:t>Dinner</w:t>
            </w:r>
          </w:p>
        </w:tc>
      </w:tr>
      <w:tr>
        <w:tc>
          <w:tcPr>
            <w:tcW w:type="dxa" w:w="5256"/>
            <w:vAlign w:val="center"/>
          </w:tcPr>
          <w:p>
            <w:r>
              <w:rPr>
                <w:sz w:val="14"/>
              </w:rPr>
              <w:t>8:00 onward</w:t>
            </w:r>
          </w:p>
        </w:tc>
        <w:tc>
          <w:tcPr>
            <w:tcW w:type="dxa" w:w="5256"/>
            <w:vAlign w:val="center"/>
          </w:tcPr>
          <w:p>
            <w:r>
              <w:rPr>
                <w:sz w:val="14"/>
              </w:rPr>
              <w:t>Approved parent pickup / validated residential programme</w:t>
            </w:r>
          </w:p>
        </w:tc>
      </w:tr>
    </w:tbl>
    <w:p>
      <w:r>
        <w:br w:type="page"/>
      </w:r>
    </w:p>
    <w:p>
      <w:pPr>
        <w:pStyle w:val="Heading1"/>
      </w:pPr>
      <w:r>
        <w:t>15. Residential Children Facility</w:t>
      </w:r>
    </w:p>
    <w:p>
      <w:pPr>
        <w:spacing w:after="100"/>
      </w:pPr>
      <w:r>
        <w:t>The residential component is a premium care service, not a casual hostel. It requires age-appropriate accommodation, wardens, night staff, controlled access, medical response, food, safeguarding, parent communication and a clear legal operating category.</w:t>
      </w:r>
    </w:p>
    <w:p>
      <w:pPr>
        <w:spacing w:after="100"/>
      </w:pPr>
      <w:r>
        <w:t>NCPCR's school-safety guidance includes residential safety expectations, while the Juvenile Justice Act Section 41 applies to institutions housing children in need of care and protection. Specialist Karnataka legal counsel should determine the exact classification and licences applicable to this commercial model before launch.</w:t>
      </w:r>
    </w:p>
    <w:p>
      <w:r>
        <w:rPr>
          <w:i/>
          <w:color w:val="646464"/>
          <w:sz w:val="14"/>
        </w:rPr>
        <w:t>Sources / basis: S17, S21</w:t>
      </w:r>
    </w:p>
    <w:p>
      <w:r>
        <w:br w:type="page"/>
      </w:r>
    </w:p>
    <w:p>
      <w:pPr>
        <w:pStyle w:val="Heading1"/>
      </w:pPr>
      <w:r>
        <w:t>16. Grandparents Village</w:t>
      </w:r>
    </w:p>
    <w:p>
      <w:pPr>
        <w:spacing w:after="100"/>
      </w:pPr>
      <w:r>
        <w:t>The senior component is designed as active intergenerational living. A grandparent can use the campus for walking, health checks, reading, cafe, social activities and interaction with grandchildren. Revenue can come from day membership, care packages, rooms and family bundles.</w:t>
      </w:r>
    </w:p>
    <w:p>
      <w:pPr>
        <w:spacing w:after="100"/>
      </w:pPr>
      <w:r>
        <w:t>The physical design should be quieter and independently accessible while remaining connected to the family campus.</w:t>
      </w:r>
    </w:p>
    <w:p>
      <w:r>
        <w:br w:type="page"/>
      </w:r>
    </w:p>
    <w:p>
      <w:pPr>
        <w:pStyle w:val="Heading1"/>
      </w:pPr>
      <w:r>
        <w:t>17. Cafe, Food and Nutrition</w:t>
      </w:r>
    </w:p>
    <w:p>
      <w:pPr>
        <w:spacing w:after="100"/>
      </w:pPr>
      <w:r>
        <w:t>Food is an operating core because after-school children, residential children, grandparents, parents and corporate groups all require catering. The kitchen should be planned around child nutrition, allergen controls, menu rotation, sports recovery nutrition and senior-friendly options.</w:t>
      </w:r>
    </w:p>
    <w:p>
      <w:pPr>
        <w:spacing w:after="100"/>
      </w:pPr>
      <w:r>
        <w:t>FSSAI's FoSCoS is the official system for food registration/licensing. Final operating requirements depend on the business structure and food activities.</w:t>
      </w:r>
    </w:p>
    <w:p>
      <w:r>
        <w:rPr>
          <w:i/>
          <w:color w:val="646464"/>
          <w:sz w:val="14"/>
        </w:rPr>
        <w:t>Sources / basis: S22</w:t>
      </w:r>
    </w:p>
    <w:p>
      <w:r>
        <w:br w:type="page"/>
      </w:r>
    </w:p>
    <w:p>
      <w:pPr>
        <w:pStyle w:val="Heading1"/>
      </w:pPr>
      <w:r>
        <w:t>18. Healthcare and Sports Science</w:t>
      </w:r>
    </w:p>
    <w:p>
      <w:pPr>
        <w:spacing w:after="100"/>
      </w:pPr>
      <w:r>
        <w:t>Phase 1 should include a medical/sick room, first-aid capability, AED, trained nurses/EMT cover, sports physiotherapy, doctor-on-call and a hospital/ambulance tie-up. Phase 2 can add orthopaedic, paediatric, nutrition, counselling and sports-science clinics through revenue-share partnerships.</w:t>
      </w:r>
    </w:p>
    <w:p>
      <w:pPr>
        <w:spacing w:after="100"/>
      </w:pPr>
      <w:r>
        <w:t>NCPCR's safety checklist explicitly asks whether a school has a medical/sick room with first-aid equipment and whether staff/students are oriented for medical emergencies.</w:t>
      </w:r>
    </w:p>
    <w:p>
      <w:r>
        <w:rPr>
          <w:i/>
          <w:color w:val="646464"/>
          <w:sz w:val="14"/>
        </w:rPr>
        <w:t>Sources / basis: S17</w:t>
      </w:r>
    </w:p>
    <w:p>
      <w:r>
        <w:br w:type="page"/>
      </w:r>
    </w:p>
    <w:p>
      <w:pPr>
        <w:pStyle w:val="Heading1"/>
      </w:pPr>
      <w:r>
        <w:t>19. Academic and Tutor Model</w:t>
      </w:r>
    </w:p>
    <w:p>
      <w:pPr>
        <w:spacing w:after="100"/>
      </w:pPr>
      <w:r>
        <w:t>The academic division complements, rather than replaces, school. Core products include homework lab, Class I-XII subject tutoring, STEM/robotics, language support, Olympiad preparation, study skills and orientation.</w:t>
      </w:r>
    </w:p>
    <w:p>
      <w:pPr>
        <w:spacing w:after="100"/>
      </w:pPr>
      <w:r>
        <w:t>UrbanPro's local prices are used only as a benchmark. The campus's bundled product can justify a higher effective ARPU because it also includes supervised care, sport, food and transport.</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Role</w:t>
            </w:r>
          </w:p>
        </w:tc>
        <w:tc>
          <w:tcPr>
            <w:tcW w:type="dxa" w:w="3504"/>
            <w:shd w:fill="18304A"/>
          </w:tcPr>
          <w:p>
            <w:r>
              <w:rPr>
                <w:b/>
                <w:color w:val="FFFFFF"/>
                <w:sz w:val="14"/>
              </w:rPr>
              <w:t>Mature FTE</w:t>
            </w:r>
          </w:p>
        </w:tc>
        <w:tc>
          <w:tcPr>
            <w:tcW w:type="dxa" w:w="3504"/>
            <w:shd w:fill="18304A"/>
          </w:tcPr>
          <w:p>
            <w:r>
              <w:rPr>
                <w:b/>
                <w:color w:val="FFFFFF"/>
                <w:sz w:val="14"/>
              </w:rPr>
              <w:t>Illustrative monthly cost</w:t>
            </w:r>
          </w:p>
        </w:tc>
      </w:tr>
      <w:tr>
        <w:tc>
          <w:tcPr>
            <w:tcW w:type="dxa" w:w="3504"/>
            <w:vAlign w:val="center"/>
          </w:tcPr>
          <w:p>
            <w:r>
              <w:rPr>
                <w:sz w:val="14"/>
              </w:rPr>
              <w:t>Academic Director</w:t>
            </w:r>
          </w:p>
        </w:tc>
        <w:tc>
          <w:tcPr>
            <w:tcW w:type="dxa" w:w="3504"/>
            <w:vAlign w:val="center"/>
          </w:tcPr>
          <w:p>
            <w:r>
              <w:rPr>
                <w:sz w:val="14"/>
              </w:rPr>
              <w:t>1</w:t>
            </w:r>
          </w:p>
        </w:tc>
        <w:tc>
          <w:tcPr>
            <w:tcW w:type="dxa" w:w="3504"/>
            <w:vAlign w:val="center"/>
          </w:tcPr>
          <w:p>
            <w:r>
              <w:rPr>
                <w:sz w:val="14"/>
              </w:rPr>
              <w:t>Rs.120,000</w:t>
            </w:r>
          </w:p>
        </w:tc>
      </w:tr>
      <w:tr>
        <w:tc>
          <w:tcPr>
            <w:tcW w:type="dxa" w:w="3504"/>
            <w:vAlign w:val="center"/>
          </w:tcPr>
          <w:p>
            <w:r>
              <w:rPr>
                <w:sz w:val="14"/>
              </w:rPr>
              <w:t>Subject Tutors</w:t>
            </w:r>
          </w:p>
        </w:tc>
        <w:tc>
          <w:tcPr>
            <w:tcW w:type="dxa" w:w="3504"/>
            <w:vAlign w:val="center"/>
          </w:tcPr>
          <w:p>
            <w:r>
              <w:rPr>
                <w:sz w:val="14"/>
              </w:rPr>
              <w:t>12</w:t>
            </w:r>
          </w:p>
        </w:tc>
        <w:tc>
          <w:tcPr>
            <w:tcW w:type="dxa" w:w="3504"/>
            <w:vAlign w:val="center"/>
          </w:tcPr>
          <w:p>
            <w:r>
              <w:rPr>
                <w:sz w:val="14"/>
              </w:rPr>
              <w:t>Rs.45,000 each</w:t>
            </w:r>
          </w:p>
        </w:tc>
      </w:tr>
      <w:tr>
        <w:tc>
          <w:tcPr>
            <w:tcW w:type="dxa" w:w="3504"/>
            <w:vAlign w:val="center"/>
          </w:tcPr>
          <w:p>
            <w:r>
              <w:rPr>
                <w:sz w:val="14"/>
              </w:rPr>
              <w:t>Homework Coordinators</w:t>
            </w:r>
          </w:p>
        </w:tc>
        <w:tc>
          <w:tcPr>
            <w:tcW w:type="dxa" w:w="3504"/>
            <w:vAlign w:val="center"/>
          </w:tcPr>
          <w:p>
            <w:r>
              <w:rPr>
                <w:sz w:val="14"/>
              </w:rPr>
              <w:t>6</w:t>
            </w:r>
          </w:p>
        </w:tc>
        <w:tc>
          <w:tcPr>
            <w:tcW w:type="dxa" w:w="3504"/>
            <w:vAlign w:val="center"/>
          </w:tcPr>
          <w:p>
            <w:r>
              <w:rPr>
                <w:sz w:val="14"/>
              </w:rPr>
              <w:t>Rs.35,000 each</w:t>
            </w:r>
          </w:p>
        </w:tc>
      </w:tr>
      <w:tr>
        <w:tc>
          <w:tcPr>
            <w:tcW w:type="dxa" w:w="3504"/>
            <w:vAlign w:val="center"/>
          </w:tcPr>
          <w:p>
            <w:r>
              <w:rPr>
                <w:sz w:val="14"/>
              </w:rPr>
              <w:t>STEM / Robotics Tutors</w:t>
            </w:r>
          </w:p>
        </w:tc>
        <w:tc>
          <w:tcPr>
            <w:tcW w:type="dxa" w:w="3504"/>
            <w:vAlign w:val="center"/>
          </w:tcPr>
          <w:p>
            <w:r>
              <w:rPr>
                <w:sz w:val="14"/>
              </w:rPr>
              <w:t>3</w:t>
            </w:r>
          </w:p>
        </w:tc>
        <w:tc>
          <w:tcPr>
            <w:tcW w:type="dxa" w:w="3504"/>
            <w:vAlign w:val="center"/>
          </w:tcPr>
          <w:p>
            <w:r>
              <w:rPr>
                <w:sz w:val="14"/>
              </w:rPr>
              <w:t>Rs.50,000 each</w:t>
            </w:r>
          </w:p>
        </w:tc>
      </w:tr>
      <w:tr>
        <w:tc>
          <w:tcPr>
            <w:tcW w:type="dxa" w:w="3504"/>
            <w:vAlign w:val="center"/>
          </w:tcPr>
          <w:p>
            <w:r>
              <w:rPr>
                <w:sz w:val="14"/>
              </w:rPr>
              <w:t>Counsellors / Learning Support</w:t>
            </w:r>
          </w:p>
        </w:tc>
        <w:tc>
          <w:tcPr>
            <w:tcW w:type="dxa" w:w="3504"/>
            <w:vAlign w:val="center"/>
          </w:tcPr>
          <w:p>
            <w:r>
              <w:rPr>
                <w:sz w:val="14"/>
              </w:rPr>
              <w:t>3</w:t>
            </w:r>
          </w:p>
        </w:tc>
        <w:tc>
          <w:tcPr>
            <w:tcW w:type="dxa" w:w="3504"/>
            <w:vAlign w:val="center"/>
          </w:tcPr>
          <w:p>
            <w:r>
              <w:rPr>
                <w:sz w:val="14"/>
              </w:rPr>
              <w:t>Rs.55,000 each</w:t>
            </w:r>
          </w:p>
        </w:tc>
      </w:tr>
    </w:tbl>
    <w:p>
      <w:r>
        <w:rPr>
          <w:i/>
          <w:color w:val="646464"/>
          <w:sz w:val="14"/>
        </w:rPr>
        <w:t>Sources / basis: S11-S12</w:t>
      </w:r>
    </w:p>
    <w:p>
      <w:r>
        <w:br w:type="page"/>
      </w:r>
    </w:p>
    <w:p>
      <w:pPr>
        <w:pStyle w:val="Heading1"/>
      </w:pPr>
      <w:r>
        <w:t>20. Sports Coaching Manpower</w:t>
      </w:r>
    </w:p>
    <w:p>
      <w:pPr>
        <w:spacing w:after="100"/>
      </w:pPr>
      <w:r>
        <w:t>All 36 sports do not require a full-time coach. The operating model uses full-time head coaches for high-volume sports, assistants for age-group ratios, and visiting specialists or partner coaches for low-volume or off-site sports.</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Role</w:t>
            </w:r>
          </w:p>
        </w:tc>
        <w:tc>
          <w:tcPr>
            <w:tcW w:type="dxa" w:w="3504"/>
            <w:shd w:fill="18304A"/>
          </w:tcPr>
          <w:p>
            <w:r>
              <w:rPr>
                <w:b/>
                <w:color w:val="FFFFFF"/>
                <w:sz w:val="14"/>
              </w:rPr>
              <w:t>Mature FTE</w:t>
            </w:r>
          </w:p>
        </w:tc>
        <w:tc>
          <w:tcPr>
            <w:tcW w:type="dxa" w:w="3504"/>
            <w:shd w:fill="18304A"/>
          </w:tcPr>
          <w:p>
            <w:r>
              <w:rPr>
                <w:b/>
                <w:color w:val="FFFFFF"/>
                <w:sz w:val="14"/>
              </w:rPr>
              <w:t>Monthly cost assumption</w:t>
            </w:r>
          </w:p>
        </w:tc>
      </w:tr>
      <w:tr>
        <w:tc>
          <w:tcPr>
            <w:tcW w:type="dxa" w:w="3504"/>
            <w:vAlign w:val="center"/>
          </w:tcPr>
          <w:p>
            <w:r>
              <w:rPr>
                <w:sz w:val="14"/>
              </w:rPr>
              <w:t>Sports Director</w:t>
            </w:r>
          </w:p>
        </w:tc>
        <w:tc>
          <w:tcPr>
            <w:tcW w:type="dxa" w:w="3504"/>
            <w:vAlign w:val="center"/>
          </w:tcPr>
          <w:p>
            <w:r>
              <w:rPr>
                <w:sz w:val="14"/>
              </w:rPr>
              <w:t>1</w:t>
            </w:r>
          </w:p>
        </w:tc>
        <w:tc>
          <w:tcPr>
            <w:tcW w:type="dxa" w:w="3504"/>
            <w:vAlign w:val="center"/>
          </w:tcPr>
          <w:p>
            <w:r>
              <w:rPr>
                <w:sz w:val="14"/>
              </w:rPr>
              <w:t>Rs.150,000</w:t>
            </w:r>
          </w:p>
        </w:tc>
      </w:tr>
      <w:tr>
        <w:tc>
          <w:tcPr>
            <w:tcW w:type="dxa" w:w="3504"/>
            <w:vAlign w:val="center"/>
          </w:tcPr>
          <w:p>
            <w:r>
              <w:rPr>
                <w:sz w:val="14"/>
              </w:rPr>
              <w:t>Core Head Coaches</w:t>
            </w:r>
          </w:p>
        </w:tc>
        <w:tc>
          <w:tcPr>
            <w:tcW w:type="dxa" w:w="3504"/>
            <w:vAlign w:val="center"/>
          </w:tcPr>
          <w:p>
            <w:r>
              <w:rPr>
                <w:sz w:val="14"/>
              </w:rPr>
              <w:t>10</w:t>
            </w:r>
          </w:p>
        </w:tc>
        <w:tc>
          <w:tcPr>
            <w:tcW w:type="dxa" w:w="3504"/>
            <w:vAlign w:val="center"/>
          </w:tcPr>
          <w:p>
            <w:r>
              <w:rPr>
                <w:sz w:val="14"/>
              </w:rPr>
              <w:t>Rs.75,000 each</w:t>
            </w:r>
          </w:p>
        </w:tc>
      </w:tr>
      <w:tr>
        <w:tc>
          <w:tcPr>
            <w:tcW w:type="dxa" w:w="3504"/>
            <w:vAlign w:val="center"/>
          </w:tcPr>
          <w:p>
            <w:r>
              <w:rPr>
                <w:sz w:val="14"/>
              </w:rPr>
              <w:t>Assistant Coaches</w:t>
            </w:r>
          </w:p>
        </w:tc>
        <w:tc>
          <w:tcPr>
            <w:tcW w:type="dxa" w:w="3504"/>
            <w:vAlign w:val="center"/>
          </w:tcPr>
          <w:p>
            <w:r>
              <w:rPr>
                <w:sz w:val="14"/>
              </w:rPr>
              <w:t>20</w:t>
            </w:r>
          </w:p>
        </w:tc>
        <w:tc>
          <w:tcPr>
            <w:tcW w:type="dxa" w:w="3504"/>
            <w:vAlign w:val="center"/>
          </w:tcPr>
          <w:p>
            <w:r>
              <w:rPr>
                <w:sz w:val="14"/>
              </w:rPr>
              <w:t>Rs.40,000 each</w:t>
            </w:r>
          </w:p>
        </w:tc>
      </w:tr>
      <w:tr>
        <w:tc>
          <w:tcPr>
            <w:tcW w:type="dxa" w:w="3504"/>
            <w:vAlign w:val="center"/>
          </w:tcPr>
          <w:p>
            <w:r>
              <w:rPr>
                <w:sz w:val="14"/>
              </w:rPr>
              <w:t>Strength &amp; Conditioning</w:t>
            </w:r>
          </w:p>
        </w:tc>
        <w:tc>
          <w:tcPr>
            <w:tcW w:type="dxa" w:w="3504"/>
            <w:vAlign w:val="center"/>
          </w:tcPr>
          <w:p>
            <w:r>
              <w:rPr>
                <w:sz w:val="14"/>
              </w:rPr>
              <w:t>3</w:t>
            </w:r>
          </w:p>
        </w:tc>
        <w:tc>
          <w:tcPr>
            <w:tcW w:type="dxa" w:w="3504"/>
            <w:vAlign w:val="center"/>
          </w:tcPr>
          <w:p>
            <w:r>
              <w:rPr>
                <w:sz w:val="14"/>
              </w:rPr>
              <w:t>Rs.60,000 each</w:t>
            </w:r>
          </w:p>
        </w:tc>
      </w:tr>
      <w:tr>
        <w:tc>
          <w:tcPr>
            <w:tcW w:type="dxa" w:w="3504"/>
            <w:vAlign w:val="center"/>
          </w:tcPr>
          <w:p>
            <w:r>
              <w:rPr>
                <w:sz w:val="14"/>
              </w:rPr>
              <w:t>Physiotherapists</w:t>
            </w:r>
          </w:p>
        </w:tc>
        <w:tc>
          <w:tcPr>
            <w:tcW w:type="dxa" w:w="3504"/>
            <w:vAlign w:val="center"/>
          </w:tcPr>
          <w:p>
            <w:r>
              <w:rPr>
                <w:sz w:val="14"/>
              </w:rPr>
              <w:t>3</w:t>
            </w:r>
          </w:p>
        </w:tc>
        <w:tc>
          <w:tcPr>
            <w:tcW w:type="dxa" w:w="3504"/>
            <w:vAlign w:val="center"/>
          </w:tcPr>
          <w:p>
            <w:r>
              <w:rPr>
                <w:sz w:val="14"/>
              </w:rPr>
              <w:t>Rs.60,000 each</w:t>
            </w:r>
          </w:p>
        </w:tc>
      </w:tr>
      <w:tr>
        <w:tc>
          <w:tcPr>
            <w:tcW w:type="dxa" w:w="3504"/>
            <w:vAlign w:val="center"/>
          </w:tcPr>
          <w:p>
            <w:r>
              <w:rPr>
                <w:sz w:val="14"/>
              </w:rPr>
              <w:t>Sports Science / Analysts</w:t>
            </w:r>
          </w:p>
        </w:tc>
        <w:tc>
          <w:tcPr>
            <w:tcW w:type="dxa" w:w="3504"/>
            <w:vAlign w:val="center"/>
          </w:tcPr>
          <w:p>
            <w:r>
              <w:rPr>
                <w:sz w:val="14"/>
              </w:rPr>
              <w:t>2</w:t>
            </w:r>
          </w:p>
        </w:tc>
        <w:tc>
          <w:tcPr>
            <w:tcW w:type="dxa" w:w="3504"/>
            <w:vAlign w:val="center"/>
          </w:tcPr>
          <w:p>
            <w:r>
              <w:rPr>
                <w:sz w:val="14"/>
              </w:rPr>
              <w:t>Rs.65,000 each</w:t>
            </w:r>
          </w:p>
        </w:tc>
      </w:tr>
      <w:tr>
        <w:tc>
          <w:tcPr>
            <w:tcW w:type="dxa" w:w="3504"/>
            <w:vAlign w:val="center"/>
          </w:tcPr>
          <w:p>
            <w:r>
              <w:rPr>
                <w:sz w:val="14"/>
              </w:rPr>
              <w:t>Visiting specialists - FTE equivalent</w:t>
            </w:r>
          </w:p>
        </w:tc>
        <w:tc>
          <w:tcPr>
            <w:tcW w:type="dxa" w:w="3504"/>
            <w:vAlign w:val="center"/>
          </w:tcPr>
          <w:p>
            <w:r>
              <w:rPr>
                <w:sz w:val="14"/>
              </w:rPr>
              <w:t>8</w:t>
            </w:r>
          </w:p>
        </w:tc>
        <w:tc>
          <w:tcPr>
            <w:tcW w:type="dxa" w:w="3504"/>
            <w:vAlign w:val="center"/>
          </w:tcPr>
          <w:p>
            <w:r>
              <w:rPr>
                <w:sz w:val="14"/>
              </w:rPr>
              <w:t>Rs.65,000 each</w:t>
            </w:r>
          </w:p>
        </w:tc>
      </w:tr>
    </w:tbl>
    <w:p>
      <w:r>
        <w:br w:type="page"/>
      </w:r>
    </w:p>
    <w:p>
      <w:pPr>
        <w:pStyle w:val="Heading1"/>
      </w:pPr>
      <w:r>
        <w:t>21. Security Manpower</w:t>
      </w:r>
    </w:p>
    <w:p>
      <w:pPr>
        <w:spacing w:after="100"/>
      </w:pPr>
      <w:r>
        <w:t>Security is treated as a dedicated operating function because the campus combines children, residential care, grandparents, events and public-facing rentals. The model includes 24/7 staffing rather than relying only on CCTV.</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2628"/>
            <w:shd w:fill="18304A"/>
          </w:tcPr>
          <w:p>
            <w:r>
              <w:rPr>
                <w:b/>
                <w:color w:val="FFFFFF"/>
                <w:sz w:val="14"/>
              </w:rPr>
              <w:t>Role</w:t>
            </w:r>
          </w:p>
        </w:tc>
        <w:tc>
          <w:tcPr>
            <w:tcW w:type="dxa" w:w="2628"/>
            <w:shd w:fill="18304A"/>
          </w:tcPr>
          <w:p>
            <w:r>
              <w:rPr>
                <w:b/>
                <w:color w:val="FFFFFF"/>
                <w:sz w:val="14"/>
              </w:rPr>
              <w:t>FTE</w:t>
            </w:r>
          </w:p>
        </w:tc>
        <w:tc>
          <w:tcPr>
            <w:tcW w:type="dxa" w:w="2628"/>
            <w:shd w:fill="18304A"/>
          </w:tcPr>
          <w:p>
            <w:r>
              <w:rPr>
                <w:b/>
                <w:color w:val="FFFFFF"/>
                <w:sz w:val="14"/>
              </w:rPr>
              <w:t>Monthly cost assumption</w:t>
            </w:r>
          </w:p>
        </w:tc>
        <w:tc>
          <w:tcPr>
            <w:tcW w:type="dxa" w:w="2628"/>
            <w:shd w:fill="18304A"/>
          </w:tcPr>
          <w:p>
            <w:r>
              <w:rPr>
                <w:b/>
                <w:color w:val="FFFFFF"/>
                <w:sz w:val="14"/>
              </w:rPr>
              <w:t>Primary function</w:t>
            </w:r>
          </w:p>
        </w:tc>
      </w:tr>
      <w:tr>
        <w:tc>
          <w:tcPr>
            <w:tcW w:type="dxa" w:w="2628"/>
            <w:vAlign w:val="center"/>
          </w:tcPr>
          <w:p>
            <w:r>
              <w:rPr>
                <w:sz w:val="14"/>
              </w:rPr>
              <w:t>Security &amp; Safeguarding Manager</w:t>
            </w:r>
          </w:p>
        </w:tc>
        <w:tc>
          <w:tcPr>
            <w:tcW w:type="dxa" w:w="2628"/>
            <w:vAlign w:val="center"/>
          </w:tcPr>
          <w:p>
            <w:r>
              <w:rPr>
                <w:sz w:val="14"/>
              </w:rPr>
              <w:t>1</w:t>
            </w:r>
          </w:p>
        </w:tc>
        <w:tc>
          <w:tcPr>
            <w:tcW w:type="dxa" w:w="2628"/>
            <w:vAlign w:val="center"/>
          </w:tcPr>
          <w:p>
            <w:r>
              <w:rPr>
                <w:sz w:val="14"/>
              </w:rPr>
              <w:t>Rs.65,000</w:t>
            </w:r>
          </w:p>
        </w:tc>
        <w:tc>
          <w:tcPr>
            <w:tcW w:type="dxa" w:w="2628"/>
            <w:vAlign w:val="center"/>
          </w:tcPr>
          <w:p>
            <w:r>
              <w:rPr>
                <w:sz w:val="14"/>
              </w:rPr>
              <w:t>Policy, incidents, agency management</w:t>
            </w:r>
          </w:p>
        </w:tc>
      </w:tr>
      <w:tr>
        <w:tc>
          <w:tcPr>
            <w:tcW w:type="dxa" w:w="2628"/>
            <w:vAlign w:val="center"/>
          </w:tcPr>
          <w:p>
            <w:r>
              <w:rPr>
                <w:sz w:val="14"/>
              </w:rPr>
              <w:t>Shift Supervisors</w:t>
            </w:r>
          </w:p>
        </w:tc>
        <w:tc>
          <w:tcPr>
            <w:tcW w:type="dxa" w:w="2628"/>
            <w:vAlign w:val="center"/>
          </w:tcPr>
          <w:p>
            <w:r>
              <w:rPr>
                <w:sz w:val="14"/>
              </w:rPr>
              <w:t>3</w:t>
            </w:r>
          </w:p>
        </w:tc>
        <w:tc>
          <w:tcPr>
            <w:tcW w:type="dxa" w:w="2628"/>
            <w:vAlign w:val="center"/>
          </w:tcPr>
          <w:p>
            <w:r>
              <w:rPr>
                <w:sz w:val="14"/>
              </w:rPr>
              <w:t>Rs.35,000</w:t>
            </w:r>
          </w:p>
        </w:tc>
        <w:tc>
          <w:tcPr>
            <w:tcW w:type="dxa" w:w="2628"/>
            <w:vAlign w:val="center"/>
          </w:tcPr>
          <w:p>
            <w:r>
              <w:rPr>
                <w:sz w:val="14"/>
              </w:rPr>
              <w:t>One per shift</w:t>
            </w:r>
          </w:p>
        </w:tc>
      </w:tr>
      <w:tr>
        <w:tc>
          <w:tcPr>
            <w:tcW w:type="dxa" w:w="2628"/>
            <w:vAlign w:val="center"/>
          </w:tcPr>
          <w:p>
            <w:r>
              <w:rPr>
                <w:sz w:val="14"/>
              </w:rPr>
              <w:t>Security Guards</w:t>
            </w:r>
          </w:p>
        </w:tc>
        <w:tc>
          <w:tcPr>
            <w:tcW w:type="dxa" w:w="2628"/>
            <w:vAlign w:val="center"/>
          </w:tcPr>
          <w:p>
            <w:r>
              <w:rPr>
                <w:sz w:val="14"/>
              </w:rPr>
              <w:t>12</w:t>
            </w:r>
          </w:p>
        </w:tc>
        <w:tc>
          <w:tcPr>
            <w:tcW w:type="dxa" w:w="2628"/>
            <w:vAlign w:val="center"/>
          </w:tcPr>
          <w:p>
            <w:r>
              <w:rPr>
                <w:sz w:val="14"/>
              </w:rPr>
              <w:t>Rs.25,000</w:t>
            </w:r>
          </w:p>
        </w:tc>
        <w:tc>
          <w:tcPr>
            <w:tcW w:type="dxa" w:w="2628"/>
            <w:vAlign w:val="center"/>
          </w:tcPr>
          <w:p>
            <w:r>
              <w:rPr>
                <w:sz w:val="14"/>
              </w:rPr>
              <w:t>Baseline four per shift</w:t>
            </w:r>
          </w:p>
        </w:tc>
      </w:tr>
      <w:tr>
        <w:tc>
          <w:tcPr>
            <w:tcW w:type="dxa" w:w="2628"/>
            <w:vAlign w:val="center"/>
          </w:tcPr>
          <w:p>
            <w:r>
              <w:rPr>
                <w:sz w:val="14"/>
              </w:rPr>
              <w:t>Female Security Officers</w:t>
            </w:r>
          </w:p>
        </w:tc>
        <w:tc>
          <w:tcPr>
            <w:tcW w:type="dxa" w:w="2628"/>
            <w:vAlign w:val="center"/>
          </w:tcPr>
          <w:p>
            <w:r>
              <w:rPr>
                <w:sz w:val="14"/>
              </w:rPr>
              <w:t>3</w:t>
            </w:r>
          </w:p>
        </w:tc>
        <w:tc>
          <w:tcPr>
            <w:tcW w:type="dxa" w:w="2628"/>
            <w:vAlign w:val="center"/>
          </w:tcPr>
          <w:p>
            <w:r>
              <w:rPr>
                <w:sz w:val="14"/>
              </w:rPr>
              <w:t>Rs.27,000</w:t>
            </w:r>
          </w:p>
        </w:tc>
        <w:tc>
          <w:tcPr>
            <w:tcW w:type="dxa" w:w="2628"/>
            <w:vAlign w:val="center"/>
          </w:tcPr>
          <w:p>
            <w:r>
              <w:rPr>
                <w:sz w:val="14"/>
              </w:rPr>
              <w:t>Child/residential zones</w:t>
            </w:r>
          </w:p>
        </w:tc>
      </w:tr>
      <w:tr>
        <w:tc>
          <w:tcPr>
            <w:tcW w:type="dxa" w:w="2628"/>
            <w:vAlign w:val="center"/>
          </w:tcPr>
          <w:p>
            <w:r>
              <w:rPr>
                <w:sz w:val="14"/>
              </w:rPr>
              <w:t>CCTV / Control Room Operators</w:t>
            </w:r>
          </w:p>
        </w:tc>
        <w:tc>
          <w:tcPr>
            <w:tcW w:type="dxa" w:w="2628"/>
            <w:vAlign w:val="center"/>
          </w:tcPr>
          <w:p>
            <w:r>
              <w:rPr>
                <w:sz w:val="14"/>
              </w:rPr>
              <w:t>3</w:t>
            </w:r>
          </w:p>
        </w:tc>
        <w:tc>
          <w:tcPr>
            <w:tcW w:type="dxa" w:w="2628"/>
            <w:vAlign w:val="center"/>
          </w:tcPr>
          <w:p>
            <w:r>
              <w:rPr>
                <w:sz w:val="14"/>
              </w:rPr>
              <w:t>Rs.30,000</w:t>
            </w:r>
          </w:p>
        </w:tc>
        <w:tc>
          <w:tcPr>
            <w:tcW w:type="dxa" w:w="2628"/>
            <w:vAlign w:val="center"/>
          </w:tcPr>
          <w:p>
            <w:r>
              <w:rPr>
                <w:sz w:val="14"/>
              </w:rPr>
              <w:t>24/7 monitoring</w:t>
            </w:r>
          </w:p>
        </w:tc>
      </w:tr>
      <w:tr>
        <w:tc>
          <w:tcPr>
            <w:tcW w:type="dxa" w:w="2628"/>
            <w:vAlign w:val="center"/>
          </w:tcPr>
          <w:p>
            <w:r>
              <w:rPr>
                <w:sz w:val="14"/>
              </w:rPr>
              <w:t>Access / Visitor Desk Officers</w:t>
            </w:r>
          </w:p>
        </w:tc>
        <w:tc>
          <w:tcPr>
            <w:tcW w:type="dxa" w:w="2628"/>
            <w:vAlign w:val="center"/>
          </w:tcPr>
          <w:p>
            <w:r>
              <w:rPr>
                <w:sz w:val="14"/>
              </w:rPr>
              <w:t>2</w:t>
            </w:r>
          </w:p>
        </w:tc>
        <w:tc>
          <w:tcPr>
            <w:tcW w:type="dxa" w:w="2628"/>
            <w:vAlign w:val="center"/>
          </w:tcPr>
          <w:p>
            <w:r>
              <w:rPr>
                <w:sz w:val="14"/>
              </w:rPr>
              <w:t>Rs.28,000</w:t>
            </w:r>
          </w:p>
        </w:tc>
        <w:tc>
          <w:tcPr>
            <w:tcW w:type="dxa" w:w="2628"/>
            <w:vAlign w:val="center"/>
          </w:tcPr>
          <w:p>
            <w:r>
              <w:rPr>
                <w:sz w:val="14"/>
              </w:rPr>
              <w:t>Entry-exit and visitor control</w:t>
            </w:r>
          </w:p>
        </w:tc>
      </w:tr>
    </w:tbl>
    <w:p>
      <w:r>
        <w:rPr>
          <w:i/>
          <w:color w:val="646464"/>
          <w:sz w:val="14"/>
        </w:rPr>
        <w:t>Sources / basis: S17, S19, S20, S23</w:t>
      </w:r>
    </w:p>
    <w:p>
      <w:r>
        <w:br w:type="page"/>
      </w:r>
    </w:p>
    <w:p>
      <w:pPr>
        <w:pStyle w:val="Heading1"/>
      </w:pPr>
      <w:r>
        <w:t>22. Housekeeping and Grounds Manpower</w:t>
      </w:r>
    </w:p>
    <w:p>
      <w:pPr>
        <w:spacing w:after="100"/>
      </w:pPr>
      <w:r>
        <w:t>The campus must remain clean through long operating hours, food service, sports traffic and residential use. Housekeeping and grounds are therefore modelled as in-house/contracted FTE equivalents rather than incidental expenses.</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Function</w:t>
            </w:r>
          </w:p>
        </w:tc>
        <w:tc>
          <w:tcPr>
            <w:tcW w:type="dxa" w:w="3504"/>
            <w:shd w:fill="18304A"/>
          </w:tcPr>
          <w:p>
            <w:r>
              <w:rPr>
                <w:b/>
                <w:color w:val="FFFFFF"/>
                <w:sz w:val="14"/>
              </w:rPr>
              <w:t>Role</w:t>
            </w:r>
          </w:p>
        </w:tc>
        <w:tc>
          <w:tcPr>
            <w:tcW w:type="dxa" w:w="3504"/>
            <w:shd w:fill="18304A"/>
          </w:tcPr>
          <w:p>
            <w:r>
              <w:rPr>
                <w:b/>
                <w:color w:val="FFFFFF"/>
                <w:sz w:val="14"/>
              </w:rPr>
              <w:t>FTE</w:t>
            </w:r>
          </w:p>
        </w:tc>
      </w:tr>
      <w:tr>
        <w:tc>
          <w:tcPr>
            <w:tcW w:type="dxa" w:w="3504"/>
            <w:vAlign w:val="center"/>
          </w:tcPr>
          <w:p>
            <w:r>
              <w:rPr>
                <w:sz w:val="14"/>
              </w:rPr>
              <w:t>Housekeeping</w:t>
            </w:r>
          </w:p>
        </w:tc>
        <w:tc>
          <w:tcPr>
            <w:tcW w:type="dxa" w:w="3504"/>
            <w:vAlign w:val="center"/>
          </w:tcPr>
          <w:p>
            <w:r>
              <w:rPr>
                <w:sz w:val="14"/>
              </w:rPr>
              <w:t>Manager</w:t>
            </w:r>
          </w:p>
        </w:tc>
        <w:tc>
          <w:tcPr>
            <w:tcW w:type="dxa" w:w="3504"/>
            <w:vAlign w:val="center"/>
          </w:tcPr>
          <w:p>
            <w:r>
              <w:rPr>
                <w:sz w:val="14"/>
              </w:rPr>
              <w:t>1</w:t>
            </w:r>
          </w:p>
        </w:tc>
      </w:tr>
      <w:tr>
        <w:tc>
          <w:tcPr>
            <w:tcW w:type="dxa" w:w="3504"/>
            <w:vAlign w:val="center"/>
          </w:tcPr>
          <w:p>
            <w:r>
              <w:rPr>
                <w:sz w:val="14"/>
              </w:rPr>
              <w:t>Housekeeping</w:t>
            </w:r>
          </w:p>
        </w:tc>
        <w:tc>
          <w:tcPr>
            <w:tcW w:type="dxa" w:w="3504"/>
            <w:vAlign w:val="center"/>
          </w:tcPr>
          <w:p>
            <w:r>
              <w:rPr>
                <w:sz w:val="14"/>
              </w:rPr>
              <w:t>Supervisors</w:t>
            </w:r>
          </w:p>
        </w:tc>
        <w:tc>
          <w:tcPr>
            <w:tcW w:type="dxa" w:w="3504"/>
            <w:vAlign w:val="center"/>
          </w:tcPr>
          <w:p>
            <w:r>
              <w:rPr>
                <w:sz w:val="14"/>
              </w:rPr>
              <w:t>2</w:t>
            </w:r>
          </w:p>
        </w:tc>
      </w:tr>
      <w:tr>
        <w:tc>
          <w:tcPr>
            <w:tcW w:type="dxa" w:w="3504"/>
            <w:vAlign w:val="center"/>
          </w:tcPr>
          <w:p>
            <w:r>
              <w:rPr>
                <w:sz w:val="14"/>
              </w:rPr>
              <w:t>Housekeeping</w:t>
            </w:r>
          </w:p>
        </w:tc>
        <w:tc>
          <w:tcPr>
            <w:tcW w:type="dxa" w:w="3504"/>
            <w:vAlign w:val="center"/>
          </w:tcPr>
          <w:p>
            <w:r>
              <w:rPr>
                <w:sz w:val="14"/>
              </w:rPr>
              <w:t>Housekeepers</w:t>
            </w:r>
          </w:p>
        </w:tc>
        <w:tc>
          <w:tcPr>
            <w:tcW w:type="dxa" w:w="3504"/>
            <w:vAlign w:val="center"/>
          </w:tcPr>
          <w:p>
            <w:r>
              <w:rPr>
                <w:sz w:val="14"/>
              </w:rPr>
              <w:t>12</w:t>
            </w:r>
          </w:p>
        </w:tc>
      </w:tr>
      <w:tr>
        <w:tc>
          <w:tcPr>
            <w:tcW w:type="dxa" w:w="3504"/>
            <w:vAlign w:val="center"/>
          </w:tcPr>
          <w:p>
            <w:r>
              <w:rPr>
                <w:sz w:val="14"/>
              </w:rPr>
              <w:t>Housekeeping</w:t>
            </w:r>
          </w:p>
        </w:tc>
        <w:tc>
          <w:tcPr>
            <w:tcW w:type="dxa" w:w="3504"/>
            <w:vAlign w:val="center"/>
          </w:tcPr>
          <w:p>
            <w:r>
              <w:rPr>
                <w:sz w:val="14"/>
              </w:rPr>
              <w:t>Restroom/Laundry attendants</w:t>
            </w:r>
          </w:p>
        </w:tc>
        <w:tc>
          <w:tcPr>
            <w:tcW w:type="dxa" w:w="3504"/>
            <w:vAlign w:val="center"/>
          </w:tcPr>
          <w:p>
            <w:r>
              <w:rPr>
                <w:sz w:val="14"/>
              </w:rPr>
              <w:t>4</w:t>
            </w:r>
          </w:p>
        </w:tc>
      </w:tr>
      <w:tr>
        <w:tc>
          <w:tcPr>
            <w:tcW w:type="dxa" w:w="3504"/>
            <w:vAlign w:val="center"/>
          </w:tcPr>
          <w:p>
            <w:r>
              <w:rPr>
                <w:sz w:val="14"/>
              </w:rPr>
              <w:t>Grounds</w:t>
            </w:r>
          </w:p>
        </w:tc>
        <w:tc>
          <w:tcPr>
            <w:tcW w:type="dxa" w:w="3504"/>
            <w:vAlign w:val="center"/>
          </w:tcPr>
          <w:p>
            <w:r>
              <w:rPr>
                <w:sz w:val="14"/>
              </w:rPr>
              <w:t>Grounds/Turf Manager</w:t>
            </w:r>
          </w:p>
        </w:tc>
        <w:tc>
          <w:tcPr>
            <w:tcW w:type="dxa" w:w="3504"/>
            <w:vAlign w:val="center"/>
          </w:tcPr>
          <w:p>
            <w:r>
              <w:rPr>
                <w:sz w:val="14"/>
              </w:rPr>
              <w:t>1</w:t>
            </w:r>
          </w:p>
        </w:tc>
      </w:tr>
      <w:tr>
        <w:tc>
          <w:tcPr>
            <w:tcW w:type="dxa" w:w="3504"/>
            <w:vAlign w:val="center"/>
          </w:tcPr>
          <w:p>
            <w:r>
              <w:rPr>
                <w:sz w:val="14"/>
              </w:rPr>
              <w:t>Grounds</w:t>
            </w:r>
          </w:p>
        </w:tc>
        <w:tc>
          <w:tcPr>
            <w:tcW w:type="dxa" w:w="3504"/>
            <w:vAlign w:val="center"/>
          </w:tcPr>
          <w:p>
            <w:r>
              <w:rPr>
                <w:sz w:val="14"/>
              </w:rPr>
              <w:t>Grounds Crew</w:t>
            </w:r>
          </w:p>
        </w:tc>
        <w:tc>
          <w:tcPr>
            <w:tcW w:type="dxa" w:w="3504"/>
            <w:vAlign w:val="center"/>
          </w:tcPr>
          <w:p>
            <w:r>
              <w:rPr>
                <w:sz w:val="14"/>
              </w:rPr>
              <w:t>8</w:t>
            </w:r>
          </w:p>
        </w:tc>
      </w:tr>
    </w:tbl>
    <w:p>
      <w:r>
        <w:br w:type="page"/>
      </w:r>
    </w:p>
    <w:p>
      <w:pPr>
        <w:pStyle w:val="Heading1"/>
      </w:pPr>
      <w:r>
        <w:t>23. Security Protocols - People and Access</w:t>
      </w:r>
    </w:p>
    <w:p>
      <w:pPr>
        <w:spacing w:after="100"/>
      </w:pPr>
      <w:r>
        <w:t>NCPCR's 2021 guidance states that institutions that house or regularly interact with children, including sports academies, should ensure periodic police verification/background checks for staff who come into contact with children. The safety checklist also includes entry-exit logs, security/CCTV, evacuation plans and fire measures.</w:t>
      </w:r>
    </w:p>
    <w:p>
      <w:pPr>
        <w:spacing w:after="100"/>
      </w:pPr>
      <w:r>
        <w:t>Private-security agencies are regulated under PSARA and licences are issued through State/UT controlling authorities. Procurement should therefore verify the agency's licence and staff training.</w:t>
      </w:r>
    </w:p>
    <w:p>
      <w:pPr>
        <w:pStyle w:val="ListBullet"/>
      </w:pPr>
      <w:r>
        <w:t>Police/background verification before child-contact deployment and periodic refresh.</w:t>
      </w:r>
    </w:p>
    <w:p>
      <w:pPr>
        <w:pStyle w:val="ListBullet"/>
      </w:pPr>
      <w:r>
        <w:t>Controlled visitor access: photo ID, purpose, host approval and entry/exit record.</w:t>
      </w:r>
    </w:p>
    <w:p>
      <w:pPr>
        <w:pStyle w:val="ListBullet"/>
      </w:pPr>
      <w:r>
        <w:t>Approved child-pickup list with QR/OTP or photo confirmation.</w:t>
      </w:r>
    </w:p>
    <w:p>
      <w:pPr>
        <w:pStyle w:val="ListBullet"/>
      </w:pPr>
      <w:r>
        <w:t>No unauthorised adult access to residential or child-only zones.</w:t>
      </w:r>
    </w:p>
    <w:p>
      <w:pPr>
        <w:pStyle w:val="ListBullet"/>
      </w:pPr>
      <w:r>
        <w:t>24/7 incident logging and escalation matrix.</w:t>
      </w:r>
    </w:p>
    <w:p>
      <w:r>
        <w:rPr>
          <w:i/>
          <w:color w:val="646464"/>
          <w:sz w:val="14"/>
        </w:rPr>
        <w:t>Sources / basis: S17, S19, S20</w:t>
      </w:r>
    </w:p>
    <w:p>
      <w:r>
        <w:br w:type="page"/>
      </w:r>
    </w:p>
    <w:p>
      <w:pPr>
        <w:pStyle w:val="Heading1"/>
      </w:pPr>
      <w:r>
        <w:t>24. Security Protocols - CCTV, Fire and Emergency</w:t>
      </w:r>
    </w:p>
    <w:p>
      <w:pPr>
        <w:spacing w:after="100"/>
      </w:pPr>
      <w:r>
        <w:t>CCTV should be used at entry/exit points, corridors, common areas and vulnerable locations, with controlled access and retention. Cameras should not be placed in bedrooms, toilets or changing areas.</w:t>
      </w:r>
    </w:p>
    <w:p>
      <w:pPr>
        <w:spacing w:after="100"/>
      </w:pPr>
      <w:r>
        <w:t>The campus should operate a single emergency command framework covering fire, severe weather, medical incidents, missing child, unauthorised access, violence, cyber events and transport incidents.</w:t>
      </w:r>
    </w:p>
    <w:p>
      <w:pPr>
        <w:pStyle w:val="ListBullet"/>
      </w:pPr>
      <w:r>
        <w:t>Marked exits and assembly points; fire alarm and extinguishers.</w:t>
      </w:r>
    </w:p>
    <w:p>
      <w:pPr>
        <w:pStyle w:val="ListBullet"/>
      </w:pPr>
      <w:r>
        <w:t>Quarterly evacuation/mock drills and documented lessons learned.</w:t>
      </w:r>
    </w:p>
    <w:p>
      <w:pPr>
        <w:pStyle w:val="ListBullet"/>
      </w:pPr>
      <w:r>
        <w:t>Medical room, AED, ambulance/hospital tie-up and first-responder training.</w:t>
      </w:r>
    </w:p>
    <w:p>
      <w:pPr>
        <w:pStyle w:val="ListBullet"/>
      </w:pPr>
      <w:r>
        <w:t>24/7 control room with panic/duress alerting.</w:t>
      </w:r>
    </w:p>
    <w:p>
      <w:pPr>
        <w:pStyle w:val="ListBullet"/>
      </w:pPr>
      <w:r>
        <w:t>Quarterly safety walks and corrective-action register.</w:t>
      </w:r>
    </w:p>
    <w:p>
      <w:pPr>
        <w:pStyle w:val="ListBullet"/>
      </w:pPr>
      <w:r>
        <w:t>Weather closure rules for lightning, heat and heavy rain.</w:t>
      </w:r>
    </w:p>
    <w:p>
      <w:r>
        <w:rPr>
          <w:i/>
          <w:color w:val="646464"/>
          <w:sz w:val="14"/>
        </w:rPr>
        <w:t>Sources / basis: S17-S18</w:t>
      </w:r>
    </w:p>
    <w:p>
      <w:r>
        <w:br w:type="page"/>
      </w:r>
    </w:p>
    <w:p>
      <w:pPr>
        <w:pStyle w:val="Heading1"/>
      </w:pPr>
      <w:r>
        <w:t>25. Staffing Cost Detail - Management</w:t>
      </w:r>
    </w:p>
    <w:p>
      <w:pPr>
        <w:spacing w:after="100"/>
      </w:pPr>
      <w:r>
        <w:t>The monthly salary numbers below are planning assumptions. The Excel model adds an 18% employer/statutory/benefit load. Final payroll must be validated through role specifications, local recruitment and outsourcing quotations.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Role</w:t>
            </w:r>
          </w:p>
        </w:tc>
        <w:tc>
          <w:tcPr>
            <w:tcW w:type="dxa" w:w="2102"/>
            <w:shd w:fill="18304A"/>
          </w:tcPr>
          <w:p>
            <w:r>
              <w:rPr>
                <w:b/>
                <w:color w:val="FFFFFF"/>
                <w:sz w:val="14"/>
              </w:rPr>
              <w:t>FTE</w:t>
            </w:r>
          </w:p>
        </w:tc>
        <w:tc>
          <w:tcPr>
            <w:tcW w:type="dxa" w:w="2102"/>
            <w:shd w:fill="18304A"/>
          </w:tcPr>
          <w:p>
            <w:r>
              <w:rPr>
                <w:b/>
                <w:color w:val="FFFFFF"/>
                <w:sz w:val="14"/>
              </w:rPr>
              <w:t>Monthly/FTE</w:t>
            </w:r>
          </w:p>
        </w:tc>
        <w:tc>
          <w:tcPr>
            <w:tcW w:type="dxa" w:w="2102"/>
            <w:shd w:fill="18304A"/>
          </w:tcPr>
          <w:p>
            <w:r>
              <w:rPr>
                <w:b/>
                <w:color w:val="FFFFFF"/>
                <w:sz w:val="14"/>
              </w:rPr>
              <w:t>Load</w:t>
            </w:r>
          </w:p>
        </w:tc>
        <w:tc>
          <w:tcPr>
            <w:tcW w:type="dxa" w:w="2102"/>
            <w:shd w:fill="18304A"/>
          </w:tcPr>
          <w:p>
            <w:r>
              <w:rPr>
                <w:b/>
                <w:color w:val="FFFFFF"/>
                <w:sz w:val="14"/>
              </w:rPr>
              <w:t>Source/Basis</w:t>
            </w:r>
          </w:p>
        </w:tc>
      </w:tr>
      <w:tr>
        <w:tc>
          <w:tcPr>
            <w:tcW w:type="dxa" w:w="2102"/>
            <w:vAlign w:val="center"/>
          </w:tcPr>
          <w:p>
            <w:r>
              <w:rPr>
                <w:sz w:val="14"/>
              </w:rPr>
              <w:t>Project / Campus Director</w:t>
            </w:r>
          </w:p>
        </w:tc>
        <w:tc>
          <w:tcPr>
            <w:tcW w:type="dxa" w:w="2102"/>
            <w:vAlign w:val="center"/>
          </w:tcPr>
          <w:p>
            <w:r>
              <w:rPr>
                <w:sz w:val="14"/>
              </w:rPr>
              <w:t>1</w:t>
            </w:r>
          </w:p>
        </w:tc>
        <w:tc>
          <w:tcPr>
            <w:tcW w:type="dxa" w:w="2102"/>
            <w:vAlign w:val="center"/>
          </w:tcPr>
          <w:p>
            <w:r>
              <w:rPr>
                <w:sz w:val="14"/>
              </w:rPr>
              <w:t>Rs.250,000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COO / Operations Director</w:t>
            </w:r>
          </w:p>
        </w:tc>
        <w:tc>
          <w:tcPr>
            <w:tcW w:type="dxa" w:w="2102"/>
            <w:vAlign w:val="center"/>
          </w:tcPr>
          <w:p>
            <w:r>
              <w:rPr>
                <w:sz w:val="14"/>
              </w:rPr>
              <w:t>1</w:t>
            </w:r>
          </w:p>
        </w:tc>
        <w:tc>
          <w:tcPr>
            <w:tcW w:type="dxa" w:w="2102"/>
            <w:vAlign w:val="center"/>
          </w:tcPr>
          <w:p>
            <w:r>
              <w:rPr>
                <w:sz w:val="14"/>
              </w:rPr>
              <w:t>Rs.180,000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Sports Director</w:t>
            </w:r>
          </w:p>
        </w:tc>
        <w:tc>
          <w:tcPr>
            <w:tcW w:type="dxa" w:w="2102"/>
            <w:vAlign w:val="center"/>
          </w:tcPr>
          <w:p>
            <w:r>
              <w:rPr>
                <w:sz w:val="14"/>
              </w:rPr>
              <w:t>1</w:t>
            </w:r>
          </w:p>
        </w:tc>
        <w:tc>
          <w:tcPr>
            <w:tcW w:type="dxa" w:w="2102"/>
            <w:vAlign w:val="center"/>
          </w:tcPr>
          <w:p>
            <w:r>
              <w:rPr>
                <w:sz w:val="14"/>
              </w:rPr>
              <w:t>Rs.150,000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Academic Director</w:t>
            </w:r>
          </w:p>
        </w:tc>
        <w:tc>
          <w:tcPr>
            <w:tcW w:type="dxa" w:w="2102"/>
            <w:vAlign w:val="center"/>
          </w:tcPr>
          <w:p>
            <w:r>
              <w:rPr>
                <w:sz w:val="14"/>
              </w:rPr>
              <w:t>1</w:t>
            </w:r>
          </w:p>
        </w:tc>
        <w:tc>
          <w:tcPr>
            <w:tcW w:type="dxa" w:w="2102"/>
            <w:vAlign w:val="center"/>
          </w:tcPr>
          <w:p>
            <w:r>
              <w:rPr>
                <w:sz w:val="14"/>
              </w:rPr>
              <w:t>Rs.120,000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Residential &amp; Family Services Director</w:t>
            </w:r>
          </w:p>
        </w:tc>
        <w:tc>
          <w:tcPr>
            <w:tcW w:type="dxa" w:w="2102"/>
            <w:vAlign w:val="center"/>
          </w:tcPr>
          <w:p>
            <w:r>
              <w:rPr>
                <w:sz w:val="14"/>
              </w:rPr>
              <w:t>1</w:t>
            </w:r>
          </w:p>
        </w:tc>
        <w:tc>
          <w:tcPr>
            <w:tcW w:type="dxa" w:w="2102"/>
            <w:vAlign w:val="center"/>
          </w:tcPr>
          <w:p>
            <w:r>
              <w:rPr>
                <w:sz w:val="14"/>
              </w:rPr>
              <w:t>Rs.120,000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Finance / HR Managers</w:t>
            </w:r>
          </w:p>
        </w:tc>
        <w:tc>
          <w:tcPr>
            <w:tcW w:type="dxa" w:w="2102"/>
            <w:vAlign w:val="center"/>
          </w:tcPr>
          <w:p>
            <w:r>
              <w:rPr>
                <w:sz w:val="14"/>
              </w:rPr>
              <w:t>2</w:t>
            </w:r>
          </w:p>
        </w:tc>
        <w:tc>
          <w:tcPr>
            <w:tcW w:type="dxa" w:w="2102"/>
            <w:vAlign w:val="center"/>
          </w:tcPr>
          <w:p>
            <w:r>
              <w:rPr>
                <w:sz w:val="14"/>
              </w:rPr>
              <w:t>Rs.90,000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Sales / Partnerships Managers</w:t>
            </w:r>
          </w:p>
        </w:tc>
        <w:tc>
          <w:tcPr>
            <w:tcW w:type="dxa" w:w="2102"/>
            <w:vAlign w:val="center"/>
          </w:tcPr>
          <w:p>
            <w:r>
              <w:rPr>
                <w:sz w:val="14"/>
              </w:rPr>
              <w:t>3</w:t>
            </w:r>
          </w:p>
        </w:tc>
        <w:tc>
          <w:tcPr>
            <w:tcW w:type="dxa" w:w="2102"/>
            <w:vAlign w:val="center"/>
          </w:tcPr>
          <w:p>
            <w:r>
              <w:rPr>
                <w:sz w:val="14"/>
              </w:rPr>
              <w:t>Rs.80,000</w:t>
            </w:r>
          </w:p>
        </w:tc>
        <w:tc>
          <w:tcPr>
            <w:tcW w:type="dxa" w:w="2102"/>
            <w:vAlign w:val="center"/>
          </w:tcPr>
          <w:p>
            <w:r>
              <w:rPr>
                <w:sz w:val="14"/>
              </w:rPr>
              <w:t>18%</w:t>
            </w:r>
          </w:p>
        </w:tc>
        <w:tc>
          <w:tcPr>
            <w:tcW w:type="dxa" w:w="2102"/>
            <w:vAlign w:val="center"/>
          </w:tcPr>
          <w:p>
            <w:r>
              <w:rPr>
                <w:sz w:val="14"/>
              </w:rPr>
              <w:t>Assumption</w:t>
            </w:r>
          </w:p>
        </w:tc>
      </w:tr>
    </w:tbl>
    <w:p>
      <w:r>
        <w:br w:type="page"/>
      </w:r>
    </w:p>
    <w:p>
      <w:pPr>
        <w:pStyle w:val="Heading1"/>
      </w:pPr>
      <w:r>
        <w:t>26. Staffing Cost Detail - Administration</w:t>
      </w:r>
    </w:p>
    <w:p>
      <w:pPr>
        <w:spacing w:after="100"/>
      </w:pPr>
      <w:r>
        <w:t>The monthly salary numbers below are planning assumptions. The Excel model adds an 18% employer/statutory/benefit load. Final payroll must be validated through role specifications, local recruitment and outsourcing quotations.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Role</w:t>
            </w:r>
          </w:p>
        </w:tc>
        <w:tc>
          <w:tcPr>
            <w:tcW w:type="dxa" w:w="2102"/>
            <w:shd w:fill="18304A"/>
          </w:tcPr>
          <w:p>
            <w:r>
              <w:rPr>
                <w:b/>
                <w:color w:val="FFFFFF"/>
                <w:sz w:val="14"/>
              </w:rPr>
              <w:t>FTE</w:t>
            </w:r>
          </w:p>
        </w:tc>
        <w:tc>
          <w:tcPr>
            <w:tcW w:type="dxa" w:w="2102"/>
            <w:shd w:fill="18304A"/>
          </w:tcPr>
          <w:p>
            <w:r>
              <w:rPr>
                <w:b/>
                <w:color w:val="FFFFFF"/>
                <w:sz w:val="14"/>
              </w:rPr>
              <w:t>Monthly/FTE</w:t>
            </w:r>
          </w:p>
        </w:tc>
        <w:tc>
          <w:tcPr>
            <w:tcW w:type="dxa" w:w="2102"/>
            <w:shd w:fill="18304A"/>
          </w:tcPr>
          <w:p>
            <w:r>
              <w:rPr>
                <w:b/>
                <w:color w:val="FFFFFF"/>
                <w:sz w:val="14"/>
              </w:rPr>
              <w:t>Load</w:t>
            </w:r>
          </w:p>
        </w:tc>
        <w:tc>
          <w:tcPr>
            <w:tcW w:type="dxa" w:w="2102"/>
            <w:shd w:fill="18304A"/>
          </w:tcPr>
          <w:p>
            <w:r>
              <w:rPr>
                <w:b/>
                <w:color w:val="FFFFFF"/>
                <w:sz w:val="14"/>
              </w:rPr>
              <w:t>Source/Basis</w:t>
            </w:r>
          </w:p>
        </w:tc>
      </w:tr>
      <w:tr>
        <w:tc>
          <w:tcPr>
            <w:tcW w:type="dxa" w:w="2102"/>
            <w:vAlign w:val="center"/>
          </w:tcPr>
          <w:p>
            <w:r>
              <w:rPr>
                <w:sz w:val="14"/>
              </w:rPr>
              <w:t>Admissions / Admin Executives</w:t>
            </w:r>
          </w:p>
        </w:tc>
        <w:tc>
          <w:tcPr>
            <w:tcW w:type="dxa" w:w="2102"/>
            <w:vAlign w:val="center"/>
          </w:tcPr>
          <w:p>
            <w:r>
              <w:rPr>
                <w:sz w:val="14"/>
              </w:rPr>
              <w:t>5</w:t>
            </w:r>
          </w:p>
        </w:tc>
        <w:tc>
          <w:tcPr>
            <w:tcW w:type="dxa" w:w="2102"/>
            <w:vAlign w:val="center"/>
          </w:tcPr>
          <w:p>
            <w:r>
              <w:rPr>
                <w:sz w:val="14"/>
              </w:rPr>
              <w:t>Rs.45,000</w:t>
            </w:r>
          </w:p>
        </w:tc>
        <w:tc>
          <w:tcPr>
            <w:tcW w:type="dxa" w:w="2102"/>
            <w:vAlign w:val="center"/>
          </w:tcPr>
          <w:p>
            <w:r>
              <w:rPr>
                <w:sz w:val="14"/>
              </w:rPr>
              <w:t>18%</w:t>
            </w:r>
          </w:p>
        </w:tc>
        <w:tc>
          <w:tcPr>
            <w:tcW w:type="dxa" w:w="2102"/>
            <w:vAlign w:val="center"/>
          </w:tcPr>
          <w:p>
            <w:r>
              <w:rPr>
                <w:sz w:val="14"/>
              </w:rPr>
              <w:t>Assumption</w:t>
            </w:r>
          </w:p>
        </w:tc>
      </w:tr>
    </w:tbl>
    <w:p>
      <w:r>
        <w:br w:type="page"/>
      </w:r>
    </w:p>
    <w:p>
      <w:pPr>
        <w:pStyle w:val="Heading1"/>
      </w:pPr>
      <w:r>
        <w:t>27. Staffing Cost Detail - Sports</w:t>
      </w:r>
    </w:p>
    <w:p>
      <w:pPr>
        <w:spacing w:after="100"/>
      </w:pPr>
      <w:r>
        <w:t>The monthly salary numbers below are planning assumptions. The Excel model adds an 18% employer/statutory/benefit load. Final payroll must be validated through role specifications, local recruitment and outsourcing quotations.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Role</w:t>
            </w:r>
          </w:p>
        </w:tc>
        <w:tc>
          <w:tcPr>
            <w:tcW w:type="dxa" w:w="2102"/>
            <w:shd w:fill="18304A"/>
          </w:tcPr>
          <w:p>
            <w:r>
              <w:rPr>
                <w:b/>
                <w:color w:val="FFFFFF"/>
                <w:sz w:val="14"/>
              </w:rPr>
              <w:t>FTE</w:t>
            </w:r>
          </w:p>
        </w:tc>
        <w:tc>
          <w:tcPr>
            <w:tcW w:type="dxa" w:w="2102"/>
            <w:shd w:fill="18304A"/>
          </w:tcPr>
          <w:p>
            <w:r>
              <w:rPr>
                <w:b/>
                <w:color w:val="FFFFFF"/>
                <w:sz w:val="14"/>
              </w:rPr>
              <w:t>Monthly/FTE</w:t>
            </w:r>
          </w:p>
        </w:tc>
        <w:tc>
          <w:tcPr>
            <w:tcW w:type="dxa" w:w="2102"/>
            <w:shd w:fill="18304A"/>
          </w:tcPr>
          <w:p>
            <w:r>
              <w:rPr>
                <w:b/>
                <w:color w:val="FFFFFF"/>
                <w:sz w:val="14"/>
              </w:rPr>
              <w:t>Load</w:t>
            </w:r>
          </w:p>
        </w:tc>
        <w:tc>
          <w:tcPr>
            <w:tcW w:type="dxa" w:w="2102"/>
            <w:shd w:fill="18304A"/>
          </w:tcPr>
          <w:p>
            <w:r>
              <w:rPr>
                <w:b/>
                <w:color w:val="FFFFFF"/>
                <w:sz w:val="14"/>
              </w:rPr>
              <w:t>Source/Basis</w:t>
            </w:r>
          </w:p>
        </w:tc>
      </w:tr>
      <w:tr>
        <w:tc>
          <w:tcPr>
            <w:tcW w:type="dxa" w:w="2102"/>
            <w:vAlign w:val="center"/>
          </w:tcPr>
          <w:p>
            <w:r>
              <w:rPr>
                <w:sz w:val="14"/>
              </w:rPr>
              <w:t>Core Head Coaches</w:t>
            </w:r>
          </w:p>
        </w:tc>
        <w:tc>
          <w:tcPr>
            <w:tcW w:type="dxa" w:w="2102"/>
            <w:vAlign w:val="center"/>
          </w:tcPr>
          <w:p>
            <w:r>
              <w:rPr>
                <w:sz w:val="14"/>
              </w:rPr>
              <w:t>10</w:t>
            </w:r>
          </w:p>
        </w:tc>
        <w:tc>
          <w:tcPr>
            <w:tcW w:type="dxa" w:w="2102"/>
            <w:vAlign w:val="center"/>
          </w:tcPr>
          <w:p>
            <w:r>
              <w:rPr>
                <w:sz w:val="14"/>
              </w:rPr>
              <w:t>Rs.75,000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Assistant Coaches</w:t>
            </w:r>
          </w:p>
        </w:tc>
        <w:tc>
          <w:tcPr>
            <w:tcW w:type="dxa" w:w="2102"/>
            <w:vAlign w:val="center"/>
          </w:tcPr>
          <w:p>
            <w:r>
              <w:rPr>
                <w:sz w:val="14"/>
              </w:rPr>
              <w:t>20</w:t>
            </w:r>
          </w:p>
        </w:tc>
        <w:tc>
          <w:tcPr>
            <w:tcW w:type="dxa" w:w="2102"/>
            <w:vAlign w:val="center"/>
          </w:tcPr>
          <w:p>
            <w:r>
              <w:rPr>
                <w:sz w:val="14"/>
              </w:rPr>
              <w:t>Rs.40,000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Strength &amp; Conditioning Coaches</w:t>
            </w:r>
          </w:p>
        </w:tc>
        <w:tc>
          <w:tcPr>
            <w:tcW w:type="dxa" w:w="2102"/>
            <w:vAlign w:val="center"/>
          </w:tcPr>
          <w:p>
            <w:r>
              <w:rPr>
                <w:sz w:val="14"/>
              </w:rPr>
              <w:t>3</w:t>
            </w:r>
          </w:p>
        </w:tc>
        <w:tc>
          <w:tcPr>
            <w:tcW w:type="dxa" w:w="2102"/>
            <w:vAlign w:val="center"/>
          </w:tcPr>
          <w:p>
            <w:r>
              <w:rPr>
                <w:sz w:val="14"/>
              </w:rPr>
              <w:t>Rs.60,000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Physiotherapists</w:t>
            </w:r>
          </w:p>
        </w:tc>
        <w:tc>
          <w:tcPr>
            <w:tcW w:type="dxa" w:w="2102"/>
            <w:vAlign w:val="center"/>
          </w:tcPr>
          <w:p>
            <w:r>
              <w:rPr>
                <w:sz w:val="14"/>
              </w:rPr>
              <w:t>3</w:t>
            </w:r>
          </w:p>
        </w:tc>
        <w:tc>
          <w:tcPr>
            <w:tcW w:type="dxa" w:w="2102"/>
            <w:vAlign w:val="center"/>
          </w:tcPr>
          <w:p>
            <w:r>
              <w:rPr>
                <w:sz w:val="14"/>
              </w:rPr>
              <w:t>Rs.60,000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Sports Science / Analysts</w:t>
            </w:r>
          </w:p>
        </w:tc>
        <w:tc>
          <w:tcPr>
            <w:tcW w:type="dxa" w:w="2102"/>
            <w:vAlign w:val="center"/>
          </w:tcPr>
          <w:p>
            <w:r>
              <w:rPr>
                <w:sz w:val="14"/>
              </w:rPr>
              <w:t>2</w:t>
            </w:r>
          </w:p>
        </w:tc>
        <w:tc>
          <w:tcPr>
            <w:tcW w:type="dxa" w:w="2102"/>
            <w:vAlign w:val="center"/>
          </w:tcPr>
          <w:p>
            <w:r>
              <w:rPr>
                <w:sz w:val="14"/>
              </w:rPr>
              <w:t>Rs.65,000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Visiting Olympic Specialists - FTE equivalent</w:t>
            </w:r>
          </w:p>
        </w:tc>
        <w:tc>
          <w:tcPr>
            <w:tcW w:type="dxa" w:w="2102"/>
            <w:vAlign w:val="center"/>
          </w:tcPr>
          <w:p>
            <w:r>
              <w:rPr>
                <w:sz w:val="14"/>
              </w:rPr>
              <w:t>8</w:t>
            </w:r>
          </w:p>
        </w:tc>
        <w:tc>
          <w:tcPr>
            <w:tcW w:type="dxa" w:w="2102"/>
            <w:vAlign w:val="center"/>
          </w:tcPr>
          <w:p>
            <w:r>
              <w:rPr>
                <w:sz w:val="14"/>
              </w:rPr>
              <w:t>Rs.65,000</w:t>
            </w:r>
          </w:p>
        </w:tc>
        <w:tc>
          <w:tcPr>
            <w:tcW w:type="dxa" w:w="2102"/>
            <w:vAlign w:val="center"/>
          </w:tcPr>
          <w:p>
            <w:r>
              <w:rPr>
                <w:sz w:val="14"/>
              </w:rPr>
              <w:t>18%</w:t>
            </w:r>
          </w:p>
        </w:tc>
        <w:tc>
          <w:tcPr>
            <w:tcW w:type="dxa" w:w="2102"/>
            <w:vAlign w:val="center"/>
          </w:tcPr>
          <w:p>
            <w:r>
              <w:rPr>
                <w:sz w:val="14"/>
              </w:rPr>
              <w:t>Assumption</w:t>
            </w:r>
          </w:p>
        </w:tc>
      </w:tr>
    </w:tbl>
    <w:p>
      <w:r>
        <w:br w:type="page"/>
      </w:r>
    </w:p>
    <w:p>
      <w:pPr>
        <w:pStyle w:val="Heading1"/>
      </w:pPr>
      <w:r>
        <w:t>28. Staffing Cost Detail - Academics</w:t>
      </w:r>
    </w:p>
    <w:p>
      <w:pPr>
        <w:spacing w:after="100"/>
      </w:pPr>
      <w:r>
        <w:t>The monthly salary numbers below are planning assumptions. The Excel model adds an 18% employer/statutory/benefit load. Final payroll must be validated through role specifications, local recruitment and outsourcing quotations.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Role</w:t>
            </w:r>
          </w:p>
        </w:tc>
        <w:tc>
          <w:tcPr>
            <w:tcW w:type="dxa" w:w="2102"/>
            <w:shd w:fill="18304A"/>
          </w:tcPr>
          <w:p>
            <w:r>
              <w:rPr>
                <w:b/>
                <w:color w:val="FFFFFF"/>
                <w:sz w:val="14"/>
              </w:rPr>
              <w:t>FTE</w:t>
            </w:r>
          </w:p>
        </w:tc>
        <w:tc>
          <w:tcPr>
            <w:tcW w:type="dxa" w:w="2102"/>
            <w:shd w:fill="18304A"/>
          </w:tcPr>
          <w:p>
            <w:r>
              <w:rPr>
                <w:b/>
                <w:color w:val="FFFFFF"/>
                <w:sz w:val="14"/>
              </w:rPr>
              <w:t>Monthly/FTE</w:t>
            </w:r>
          </w:p>
        </w:tc>
        <w:tc>
          <w:tcPr>
            <w:tcW w:type="dxa" w:w="2102"/>
            <w:shd w:fill="18304A"/>
          </w:tcPr>
          <w:p>
            <w:r>
              <w:rPr>
                <w:b/>
                <w:color w:val="FFFFFF"/>
                <w:sz w:val="14"/>
              </w:rPr>
              <w:t>Load</w:t>
            </w:r>
          </w:p>
        </w:tc>
        <w:tc>
          <w:tcPr>
            <w:tcW w:type="dxa" w:w="2102"/>
            <w:shd w:fill="18304A"/>
          </w:tcPr>
          <w:p>
            <w:r>
              <w:rPr>
                <w:b/>
                <w:color w:val="FFFFFF"/>
                <w:sz w:val="14"/>
              </w:rPr>
              <w:t>Source/Basis</w:t>
            </w:r>
          </w:p>
        </w:tc>
      </w:tr>
      <w:tr>
        <w:tc>
          <w:tcPr>
            <w:tcW w:type="dxa" w:w="2102"/>
            <w:vAlign w:val="center"/>
          </w:tcPr>
          <w:p>
            <w:r>
              <w:rPr>
                <w:sz w:val="14"/>
              </w:rPr>
              <w:t>Subject Tutors</w:t>
            </w:r>
          </w:p>
        </w:tc>
        <w:tc>
          <w:tcPr>
            <w:tcW w:type="dxa" w:w="2102"/>
            <w:vAlign w:val="center"/>
          </w:tcPr>
          <w:p>
            <w:r>
              <w:rPr>
                <w:sz w:val="14"/>
              </w:rPr>
              <w:t>12</w:t>
            </w:r>
          </w:p>
        </w:tc>
        <w:tc>
          <w:tcPr>
            <w:tcW w:type="dxa" w:w="2102"/>
            <w:vAlign w:val="center"/>
          </w:tcPr>
          <w:p>
            <w:r>
              <w:rPr>
                <w:sz w:val="14"/>
              </w:rPr>
              <w:t>Rs.45,000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Homework Coordinators</w:t>
            </w:r>
          </w:p>
        </w:tc>
        <w:tc>
          <w:tcPr>
            <w:tcW w:type="dxa" w:w="2102"/>
            <w:vAlign w:val="center"/>
          </w:tcPr>
          <w:p>
            <w:r>
              <w:rPr>
                <w:sz w:val="14"/>
              </w:rPr>
              <w:t>6</w:t>
            </w:r>
          </w:p>
        </w:tc>
        <w:tc>
          <w:tcPr>
            <w:tcW w:type="dxa" w:w="2102"/>
            <w:vAlign w:val="center"/>
          </w:tcPr>
          <w:p>
            <w:r>
              <w:rPr>
                <w:sz w:val="14"/>
              </w:rPr>
              <w:t>Rs.35,000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STEM / Robotics Tutors</w:t>
            </w:r>
          </w:p>
        </w:tc>
        <w:tc>
          <w:tcPr>
            <w:tcW w:type="dxa" w:w="2102"/>
            <w:vAlign w:val="center"/>
          </w:tcPr>
          <w:p>
            <w:r>
              <w:rPr>
                <w:sz w:val="14"/>
              </w:rPr>
              <w:t>3</w:t>
            </w:r>
          </w:p>
        </w:tc>
        <w:tc>
          <w:tcPr>
            <w:tcW w:type="dxa" w:w="2102"/>
            <w:vAlign w:val="center"/>
          </w:tcPr>
          <w:p>
            <w:r>
              <w:rPr>
                <w:sz w:val="14"/>
              </w:rPr>
              <w:t>Rs.50,000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Counsellors / Learning Support</w:t>
            </w:r>
          </w:p>
        </w:tc>
        <w:tc>
          <w:tcPr>
            <w:tcW w:type="dxa" w:w="2102"/>
            <w:vAlign w:val="center"/>
          </w:tcPr>
          <w:p>
            <w:r>
              <w:rPr>
                <w:sz w:val="14"/>
              </w:rPr>
              <w:t>3</w:t>
            </w:r>
          </w:p>
        </w:tc>
        <w:tc>
          <w:tcPr>
            <w:tcW w:type="dxa" w:w="2102"/>
            <w:vAlign w:val="center"/>
          </w:tcPr>
          <w:p>
            <w:r>
              <w:rPr>
                <w:sz w:val="14"/>
              </w:rPr>
              <w:t>Rs.55,000</w:t>
            </w:r>
          </w:p>
        </w:tc>
        <w:tc>
          <w:tcPr>
            <w:tcW w:type="dxa" w:w="2102"/>
            <w:vAlign w:val="center"/>
          </w:tcPr>
          <w:p>
            <w:r>
              <w:rPr>
                <w:sz w:val="14"/>
              </w:rPr>
              <w:t>18%</w:t>
            </w:r>
          </w:p>
        </w:tc>
        <w:tc>
          <w:tcPr>
            <w:tcW w:type="dxa" w:w="2102"/>
            <w:vAlign w:val="center"/>
          </w:tcPr>
          <w:p>
            <w:r>
              <w:rPr>
                <w:sz w:val="14"/>
              </w:rPr>
              <w:t>Assumption</w:t>
            </w:r>
          </w:p>
        </w:tc>
      </w:tr>
    </w:tbl>
    <w:p>
      <w:r>
        <w:br w:type="page"/>
      </w:r>
    </w:p>
    <w:p>
      <w:pPr>
        <w:pStyle w:val="Heading1"/>
      </w:pPr>
      <w:r>
        <w:t>29. Staffing Cost Detail - Residential</w:t>
      </w:r>
    </w:p>
    <w:p>
      <w:pPr>
        <w:spacing w:after="100"/>
      </w:pPr>
      <w:r>
        <w:t>The monthly salary numbers below are planning assumptions. The Excel model adds an 18% employer/statutory/benefit load. Final payroll must be validated through role specifications, local recruitment and outsourcing quotations.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Role</w:t>
            </w:r>
          </w:p>
        </w:tc>
        <w:tc>
          <w:tcPr>
            <w:tcW w:type="dxa" w:w="2102"/>
            <w:shd w:fill="18304A"/>
          </w:tcPr>
          <w:p>
            <w:r>
              <w:rPr>
                <w:b/>
                <w:color w:val="FFFFFF"/>
                <w:sz w:val="14"/>
              </w:rPr>
              <w:t>FTE</w:t>
            </w:r>
          </w:p>
        </w:tc>
        <w:tc>
          <w:tcPr>
            <w:tcW w:type="dxa" w:w="2102"/>
            <w:shd w:fill="18304A"/>
          </w:tcPr>
          <w:p>
            <w:r>
              <w:rPr>
                <w:b/>
                <w:color w:val="FFFFFF"/>
                <w:sz w:val="14"/>
              </w:rPr>
              <w:t>Monthly/FTE</w:t>
            </w:r>
          </w:p>
        </w:tc>
        <w:tc>
          <w:tcPr>
            <w:tcW w:type="dxa" w:w="2102"/>
            <w:shd w:fill="18304A"/>
          </w:tcPr>
          <w:p>
            <w:r>
              <w:rPr>
                <w:b/>
                <w:color w:val="FFFFFF"/>
                <w:sz w:val="14"/>
              </w:rPr>
              <w:t>Load</w:t>
            </w:r>
          </w:p>
        </w:tc>
        <w:tc>
          <w:tcPr>
            <w:tcW w:type="dxa" w:w="2102"/>
            <w:shd w:fill="18304A"/>
          </w:tcPr>
          <w:p>
            <w:r>
              <w:rPr>
                <w:b/>
                <w:color w:val="FFFFFF"/>
                <w:sz w:val="14"/>
              </w:rPr>
              <w:t>Source/Basis</w:t>
            </w:r>
          </w:p>
        </w:tc>
      </w:tr>
      <w:tr>
        <w:tc>
          <w:tcPr>
            <w:tcW w:type="dxa" w:w="2102"/>
            <w:vAlign w:val="center"/>
          </w:tcPr>
          <w:p>
            <w:r>
              <w:rPr>
                <w:sz w:val="14"/>
              </w:rPr>
              <w:t>Wardens</w:t>
            </w:r>
          </w:p>
        </w:tc>
        <w:tc>
          <w:tcPr>
            <w:tcW w:type="dxa" w:w="2102"/>
            <w:vAlign w:val="center"/>
          </w:tcPr>
          <w:p>
            <w:r>
              <w:rPr>
                <w:sz w:val="14"/>
              </w:rPr>
              <w:t>6</w:t>
            </w:r>
          </w:p>
        </w:tc>
        <w:tc>
          <w:tcPr>
            <w:tcW w:type="dxa" w:w="2102"/>
            <w:vAlign w:val="center"/>
          </w:tcPr>
          <w:p>
            <w:r>
              <w:rPr>
                <w:sz w:val="14"/>
              </w:rPr>
              <w:t>Rs.45,000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Care Assistants</w:t>
            </w:r>
          </w:p>
        </w:tc>
        <w:tc>
          <w:tcPr>
            <w:tcW w:type="dxa" w:w="2102"/>
            <w:vAlign w:val="center"/>
          </w:tcPr>
          <w:p>
            <w:r>
              <w:rPr>
                <w:sz w:val="14"/>
              </w:rPr>
              <w:t>8</w:t>
            </w:r>
          </w:p>
        </w:tc>
        <w:tc>
          <w:tcPr>
            <w:tcW w:type="dxa" w:w="2102"/>
            <w:vAlign w:val="center"/>
          </w:tcPr>
          <w:p>
            <w:r>
              <w:rPr>
                <w:sz w:val="14"/>
              </w:rPr>
              <w:t>Rs.30,000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Night Residential Staff</w:t>
            </w:r>
          </w:p>
        </w:tc>
        <w:tc>
          <w:tcPr>
            <w:tcW w:type="dxa" w:w="2102"/>
            <w:vAlign w:val="center"/>
          </w:tcPr>
          <w:p>
            <w:r>
              <w:rPr>
                <w:sz w:val="14"/>
              </w:rPr>
              <w:t>4</w:t>
            </w:r>
          </w:p>
        </w:tc>
        <w:tc>
          <w:tcPr>
            <w:tcW w:type="dxa" w:w="2102"/>
            <w:vAlign w:val="center"/>
          </w:tcPr>
          <w:p>
            <w:r>
              <w:rPr>
                <w:sz w:val="14"/>
              </w:rPr>
              <w:t>Rs.32,000</w:t>
            </w:r>
          </w:p>
        </w:tc>
        <w:tc>
          <w:tcPr>
            <w:tcW w:type="dxa" w:w="2102"/>
            <w:vAlign w:val="center"/>
          </w:tcPr>
          <w:p>
            <w:r>
              <w:rPr>
                <w:sz w:val="14"/>
              </w:rPr>
              <w:t>18%</w:t>
            </w:r>
          </w:p>
        </w:tc>
        <w:tc>
          <w:tcPr>
            <w:tcW w:type="dxa" w:w="2102"/>
            <w:vAlign w:val="center"/>
          </w:tcPr>
          <w:p>
            <w:r>
              <w:rPr>
                <w:sz w:val="14"/>
              </w:rPr>
              <w:t>Assumption</w:t>
            </w:r>
          </w:p>
        </w:tc>
      </w:tr>
    </w:tbl>
    <w:p>
      <w:r>
        <w:br w:type="page"/>
      </w:r>
    </w:p>
    <w:p>
      <w:pPr>
        <w:pStyle w:val="Heading1"/>
      </w:pPr>
      <w:r>
        <w:t>30. Staffing Cost Detail - Security</w:t>
      </w:r>
    </w:p>
    <w:p>
      <w:pPr>
        <w:spacing w:after="100"/>
      </w:pPr>
      <w:r>
        <w:t>The monthly salary numbers below are planning assumptions. The Excel model adds an 18% employer/statutory/benefit load. Final payroll must be validated through role specifications, local recruitment and outsourcing quotations.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Role</w:t>
            </w:r>
          </w:p>
        </w:tc>
        <w:tc>
          <w:tcPr>
            <w:tcW w:type="dxa" w:w="2102"/>
            <w:shd w:fill="18304A"/>
          </w:tcPr>
          <w:p>
            <w:r>
              <w:rPr>
                <w:b/>
                <w:color w:val="FFFFFF"/>
                <w:sz w:val="14"/>
              </w:rPr>
              <w:t>FTE</w:t>
            </w:r>
          </w:p>
        </w:tc>
        <w:tc>
          <w:tcPr>
            <w:tcW w:type="dxa" w:w="2102"/>
            <w:shd w:fill="18304A"/>
          </w:tcPr>
          <w:p>
            <w:r>
              <w:rPr>
                <w:b/>
                <w:color w:val="FFFFFF"/>
                <w:sz w:val="14"/>
              </w:rPr>
              <w:t>Monthly/FTE</w:t>
            </w:r>
          </w:p>
        </w:tc>
        <w:tc>
          <w:tcPr>
            <w:tcW w:type="dxa" w:w="2102"/>
            <w:shd w:fill="18304A"/>
          </w:tcPr>
          <w:p>
            <w:r>
              <w:rPr>
                <w:b/>
                <w:color w:val="FFFFFF"/>
                <w:sz w:val="14"/>
              </w:rPr>
              <w:t>Load</w:t>
            </w:r>
          </w:p>
        </w:tc>
        <w:tc>
          <w:tcPr>
            <w:tcW w:type="dxa" w:w="2102"/>
            <w:shd w:fill="18304A"/>
          </w:tcPr>
          <w:p>
            <w:r>
              <w:rPr>
                <w:b/>
                <w:color w:val="FFFFFF"/>
                <w:sz w:val="14"/>
              </w:rPr>
              <w:t>Source/Basis</w:t>
            </w:r>
          </w:p>
        </w:tc>
      </w:tr>
      <w:tr>
        <w:tc>
          <w:tcPr>
            <w:tcW w:type="dxa" w:w="2102"/>
            <w:vAlign w:val="center"/>
          </w:tcPr>
          <w:p>
            <w:r>
              <w:rPr>
                <w:sz w:val="14"/>
              </w:rPr>
              <w:t>Security &amp; Safeguarding Manager</w:t>
            </w:r>
          </w:p>
        </w:tc>
        <w:tc>
          <w:tcPr>
            <w:tcW w:type="dxa" w:w="2102"/>
            <w:vAlign w:val="center"/>
          </w:tcPr>
          <w:p>
            <w:r>
              <w:rPr>
                <w:sz w:val="14"/>
              </w:rPr>
              <w:t>1</w:t>
            </w:r>
          </w:p>
        </w:tc>
        <w:tc>
          <w:tcPr>
            <w:tcW w:type="dxa" w:w="2102"/>
            <w:vAlign w:val="center"/>
          </w:tcPr>
          <w:p>
            <w:r>
              <w:rPr>
                <w:sz w:val="14"/>
              </w:rPr>
              <w:t>Rs.65,000</w:t>
            </w:r>
          </w:p>
        </w:tc>
        <w:tc>
          <w:tcPr>
            <w:tcW w:type="dxa" w:w="2102"/>
            <w:vAlign w:val="center"/>
          </w:tcPr>
          <w:p>
            <w:r>
              <w:rPr>
                <w:sz w:val="14"/>
              </w:rPr>
              <w:t>18%</w:t>
            </w:r>
          </w:p>
        </w:tc>
        <w:tc>
          <w:tcPr>
            <w:tcW w:type="dxa" w:w="2102"/>
            <w:vAlign w:val="center"/>
          </w:tcPr>
          <w:p>
            <w:r>
              <w:rPr>
                <w:sz w:val="14"/>
              </w:rPr>
              <w:t>S17/S19/S20</w:t>
            </w:r>
          </w:p>
        </w:tc>
      </w:tr>
      <w:tr>
        <w:tc>
          <w:tcPr>
            <w:tcW w:type="dxa" w:w="2102"/>
            <w:vAlign w:val="center"/>
          </w:tcPr>
          <w:p>
            <w:r>
              <w:rPr>
                <w:sz w:val="14"/>
              </w:rPr>
              <w:t>Shift Supervisors</w:t>
            </w:r>
          </w:p>
        </w:tc>
        <w:tc>
          <w:tcPr>
            <w:tcW w:type="dxa" w:w="2102"/>
            <w:vAlign w:val="center"/>
          </w:tcPr>
          <w:p>
            <w:r>
              <w:rPr>
                <w:sz w:val="14"/>
              </w:rPr>
              <w:t>3</w:t>
            </w:r>
          </w:p>
        </w:tc>
        <w:tc>
          <w:tcPr>
            <w:tcW w:type="dxa" w:w="2102"/>
            <w:vAlign w:val="center"/>
          </w:tcPr>
          <w:p>
            <w:r>
              <w:rPr>
                <w:sz w:val="14"/>
              </w:rPr>
              <w:t>Rs.35,000</w:t>
            </w:r>
          </w:p>
        </w:tc>
        <w:tc>
          <w:tcPr>
            <w:tcW w:type="dxa" w:w="2102"/>
            <w:vAlign w:val="center"/>
          </w:tcPr>
          <w:p>
            <w:r>
              <w:rPr>
                <w:sz w:val="14"/>
              </w:rPr>
              <w:t>18%</w:t>
            </w:r>
          </w:p>
        </w:tc>
        <w:tc>
          <w:tcPr>
            <w:tcW w:type="dxa" w:w="2102"/>
            <w:vAlign w:val="center"/>
          </w:tcPr>
          <w:p>
            <w:r>
              <w:rPr>
                <w:sz w:val="14"/>
              </w:rPr>
              <w:t>S19/S20</w:t>
            </w:r>
          </w:p>
        </w:tc>
      </w:tr>
      <w:tr>
        <w:tc>
          <w:tcPr>
            <w:tcW w:type="dxa" w:w="2102"/>
            <w:vAlign w:val="center"/>
          </w:tcPr>
          <w:p>
            <w:r>
              <w:rPr>
                <w:sz w:val="14"/>
              </w:rPr>
              <w:t>Security Guards</w:t>
            </w:r>
          </w:p>
        </w:tc>
        <w:tc>
          <w:tcPr>
            <w:tcW w:type="dxa" w:w="2102"/>
            <w:vAlign w:val="center"/>
          </w:tcPr>
          <w:p>
            <w:r>
              <w:rPr>
                <w:sz w:val="14"/>
              </w:rPr>
              <w:t>12</w:t>
            </w:r>
          </w:p>
        </w:tc>
        <w:tc>
          <w:tcPr>
            <w:tcW w:type="dxa" w:w="2102"/>
            <w:vAlign w:val="center"/>
          </w:tcPr>
          <w:p>
            <w:r>
              <w:rPr>
                <w:sz w:val="14"/>
              </w:rPr>
              <w:t>Rs.25,000</w:t>
            </w:r>
          </w:p>
        </w:tc>
        <w:tc>
          <w:tcPr>
            <w:tcW w:type="dxa" w:w="2102"/>
            <w:vAlign w:val="center"/>
          </w:tcPr>
          <w:p>
            <w:r>
              <w:rPr>
                <w:sz w:val="14"/>
              </w:rPr>
              <w:t>18%</w:t>
            </w:r>
          </w:p>
        </w:tc>
        <w:tc>
          <w:tcPr>
            <w:tcW w:type="dxa" w:w="2102"/>
            <w:vAlign w:val="center"/>
          </w:tcPr>
          <w:p>
            <w:r>
              <w:rPr>
                <w:sz w:val="14"/>
              </w:rPr>
              <w:t>S19/S20</w:t>
            </w:r>
          </w:p>
        </w:tc>
      </w:tr>
      <w:tr>
        <w:tc>
          <w:tcPr>
            <w:tcW w:type="dxa" w:w="2102"/>
            <w:vAlign w:val="center"/>
          </w:tcPr>
          <w:p>
            <w:r>
              <w:rPr>
                <w:sz w:val="14"/>
              </w:rPr>
              <w:t>Female Security Officers</w:t>
            </w:r>
          </w:p>
        </w:tc>
        <w:tc>
          <w:tcPr>
            <w:tcW w:type="dxa" w:w="2102"/>
            <w:vAlign w:val="center"/>
          </w:tcPr>
          <w:p>
            <w:r>
              <w:rPr>
                <w:sz w:val="14"/>
              </w:rPr>
              <w:t>3</w:t>
            </w:r>
          </w:p>
        </w:tc>
        <w:tc>
          <w:tcPr>
            <w:tcW w:type="dxa" w:w="2102"/>
            <w:vAlign w:val="center"/>
          </w:tcPr>
          <w:p>
            <w:r>
              <w:rPr>
                <w:sz w:val="14"/>
              </w:rPr>
              <w:t>Rs.27,000</w:t>
            </w:r>
          </w:p>
        </w:tc>
        <w:tc>
          <w:tcPr>
            <w:tcW w:type="dxa" w:w="2102"/>
            <w:vAlign w:val="center"/>
          </w:tcPr>
          <w:p>
            <w:r>
              <w:rPr>
                <w:sz w:val="14"/>
              </w:rPr>
              <w:t>18%</w:t>
            </w:r>
          </w:p>
        </w:tc>
        <w:tc>
          <w:tcPr>
            <w:tcW w:type="dxa" w:w="2102"/>
            <w:vAlign w:val="center"/>
          </w:tcPr>
          <w:p>
            <w:r>
              <w:rPr>
                <w:sz w:val="14"/>
              </w:rPr>
              <w:t>S17</w:t>
            </w:r>
          </w:p>
        </w:tc>
      </w:tr>
      <w:tr>
        <w:tc>
          <w:tcPr>
            <w:tcW w:type="dxa" w:w="2102"/>
            <w:vAlign w:val="center"/>
          </w:tcPr>
          <w:p>
            <w:r>
              <w:rPr>
                <w:sz w:val="14"/>
              </w:rPr>
              <w:t>CCTV / Control Room Operators</w:t>
            </w:r>
          </w:p>
        </w:tc>
        <w:tc>
          <w:tcPr>
            <w:tcW w:type="dxa" w:w="2102"/>
            <w:vAlign w:val="center"/>
          </w:tcPr>
          <w:p>
            <w:r>
              <w:rPr>
                <w:sz w:val="14"/>
              </w:rPr>
              <w:t>3</w:t>
            </w:r>
          </w:p>
        </w:tc>
        <w:tc>
          <w:tcPr>
            <w:tcW w:type="dxa" w:w="2102"/>
            <w:vAlign w:val="center"/>
          </w:tcPr>
          <w:p>
            <w:r>
              <w:rPr>
                <w:sz w:val="14"/>
              </w:rPr>
              <w:t>Rs.30,000</w:t>
            </w:r>
          </w:p>
        </w:tc>
        <w:tc>
          <w:tcPr>
            <w:tcW w:type="dxa" w:w="2102"/>
            <w:vAlign w:val="center"/>
          </w:tcPr>
          <w:p>
            <w:r>
              <w:rPr>
                <w:sz w:val="14"/>
              </w:rPr>
              <w:t>18%</w:t>
            </w:r>
          </w:p>
        </w:tc>
        <w:tc>
          <w:tcPr>
            <w:tcW w:type="dxa" w:w="2102"/>
            <w:vAlign w:val="center"/>
          </w:tcPr>
          <w:p>
            <w:r>
              <w:rPr>
                <w:sz w:val="14"/>
              </w:rPr>
              <w:t>S17</w:t>
            </w:r>
          </w:p>
        </w:tc>
      </w:tr>
      <w:tr>
        <w:tc>
          <w:tcPr>
            <w:tcW w:type="dxa" w:w="2102"/>
            <w:vAlign w:val="center"/>
          </w:tcPr>
          <w:p>
            <w:r>
              <w:rPr>
                <w:sz w:val="14"/>
              </w:rPr>
              <w:t>Access / Visitor Desk Officers</w:t>
            </w:r>
          </w:p>
        </w:tc>
        <w:tc>
          <w:tcPr>
            <w:tcW w:type="dxa" w:w="2102"/>
            <w:vAlign w:val="center"/>
          </w:tcPr>
          <w:p>
            <w:r>
              <w:rPr>
                <w:sz w:val="14"/>
              </w:rPr>
              <w:t>2</w:t>
            </w:r>
          </w:p>
        </w:tc>
        <w:tc>
          <w:tcPr>
            <w:tcW w:type="dxa" w:w="2102"/>
            <w:vAlign w:val="center"/>
          </w:tcPr>
          <w:p>
            <w:r>
              <w:rPr>
                <w:sz w:val="14"/>
              </w:rPr>
              <w:t>Rs.28,000</w:t>
            </w:r>
          </w:p>
        </w:tc>
        <w:tc>
          <w:tcPr>
            <w:tcW w:type="dxa" w:w="2102"/>
            <w:vAlign w:val="center"/>
          </w:tcPr>
          <w:p>
            <w:r>
              <w:rPr>
                <w:sz w:val="14"/>
              </w:rPr>
              <w:t>18%</w:t>
            </w:r>
          </w:p>
        </w:tc>
        <w:tc>
          <w:tcPr>
            <w:tcW w:type="dxa" w:w="2102"/>
            <w:vAlign w:val="center"/>
          </w:tcPr>
          <w:p>
            <w:r>
              <w:rPr>
                <w:sz w:val="14"/>
              </w:rPr>
              <w:t>S17</w:t>
            </w:r>
          </w:p>
        </w:tc>
      </w:tr>
    </w:tbl>
    <w:p>
      <w:r>
        <w:br w:type="page"/>
      </w:r>
    </w:p>
    <w:p>
      <w:pPr>
        <w:pStyle w:val="Heading1"/>
      </w:pPr>
      <w:r>
        <w:t>31. Staffing Cost Detail - Housekeeping</w:t>
      </w:r>
    </w:p>
    <w:p>
      <w:pPr>
        <w:spacing w:after="100"/>
      </w:pPr>
      <w:r>
        <w:t>The monthly salary numbers below are planning assumptions. The Excel model adds an 18% employer/statutory/benefit load. Final payroll must be validated through role specifications, local recruitment and outsourcing quotations.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Role</w:t>
            </w:r>
          </w:p>
        </w:tc>
        <w:tc>
          <w:tcPr>
            <w:tcW w:type="dxa" w:w="2102"/>
            <w:shd w:fill="18304A"/>
          </w:tcPr>
          <w:p>
            <w:r>
              <w:rPr>
                <w:b/>
                <w:color w:val="FFFFFF"/>
                <w:sz w:val="14"/>
              </w:rPr>
              <w:t>FTE</w:t>
            </w:r>
          </w:p>
        </w:tc>
        <w:tc>
          <w:tcPr>
            <w:tcW w:type="dxa" w:w="2102"/>
            <w:shd w:fill="18304A"/>
          </w:tcPr>
          <w:p>
            <w:r>
              <w:rPr>
                <w:b/>
                <w:color w:val="FFFFFF"/>
                <w:sz w:val="14"/>
              </w:rPr>
              <w:t>Monthly/FTE</w:t>
            </w:r>
          </w:p>
        </w:tc>
        <w:tc>
          <w:tcPr>
            <w:tcW w:type="dxa" w:w="2102"/>
            <w:shd w:fill="18304A"/>
          </w:tcPr>
          <w:p>
            <w:r>
              <w:rPr>
                <w:b/>
                <w:color w:val="FFFFFF"/>
                <w:sz w:val="14"/>
              </w:rPr>
              <w:t>Load</w:t>
            </w:r>
          </w:p>
        </w:tc>
        <w:tc>
          <w:tcPr>
            <w:tcW w:type="dxa" w:w="2102"/>
            <w:shd w:fill="18304A"/>
          </w:tcPr>
          <w:p>
            <w:r>
              <w:rPr>
                <w:b/>
                <w:color w:val="FFFFFF"/>
                <w:sz w:val="14"/>
              </w:rPr>
              <w:t>Source/Basis</w:t>
            </w:r>
          </w:p>
        </w:tc>
      </w:tr>
      <w:tr>
        <w:tc>
          <w:tcPr>
            <w:tcW w:type="dxa" w:w="2102"/>
            <w:vAlign w:val="center"/>
          </w:tcPr>
          <w:p>
            <w:r>
              <w:rPr>
                <w:sz w:val="14"/>
              </w:rPr>
              <w:t>Housekeeping Manager</w:t>
            </w:r>
          </w:p>
        </w:tc>
        <w:tc>
          <w:tcPr>
            <w:tcW w:type="dxa" w:w="2102"/>
            <w:vAlign w:val="center"/>
          </w:tcPr>
          <w:p>
            <w:r>
              <w:rPr>
                <w:sz w:val="14"/>
              </w:rPr>
              <w:t>1</w:t>
            </w:r>
          </w:p>
        </w:tc>
        <w:tc>
          <w:tcPr>
            <w:tcW w:type="dxa" w:w="2102"/>
            <w:vAlign w:val="center"/>
          </w:tcPr>
          <w:p>
            <w:r>
              <w:rPr>
                <w:sz w:val="14"/>
              </w:rPr>
              <w:t>Rs.45,000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Housekeeping Supervisors</w:t>
            </w:r>
          </w:p>
        </w:tc>
        <w:tc>
          <w:tcPr>
            <w:tcW w:type="dxa" w:w="2102"/>
            <w:vAlign w:val="center"/>
          </w:tcPr>
          <w:p>
            <w:r>
              <w:rPr>
                <w:sz w:val="14"/>
              </w:rPr>
              <w:t>2</w:t>
            </w:r>
          </w:p>
        </w:tc>
        <w:tc>
          <w:tcPr>
            <w:tcW w:type="dxa" w:w="2102"/>
            <w:vAlign w:val="center"/>
          </w:tcPr>
          <w:p>
            <w:r>
              <w:rPr>
                <w:sz w:val="14"/>
              </w:rPr>
              <w:t>Rs.30,000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Housekeepers</w:t>
            </w:r>
          </w:p>
        </w:tc>
        <w:tc>
          <w:tcPr>
            <w:tcW w:type="dxa" w:w="2102"/>
            <w:vAlign w:val="center"/>
          </w:tcPr>
          <w:p>
            <w:r>
              <w:rPr>
                <w:sz w:val="14"/>
              </w:rPr>
              <w:t>12</w:t>
            </w:r>
          </w:p>
        </w:tc>
        <w:tc>
          <w:tcPr>
            <w:tcW w:type="dxa" w:w="2102"/>
            <w:vAlign w:val="center"/>
          </w:tcPr>
          <w:p>
            <w:r>
              <w:rPr>
                <w:sz w:val="14"/>
              </w:rPr>
              <w:t>Rs.22,000</w:t>
            </w:r>
          </w:p>
        </w:tc>
        <w:tc>
          <w:tcPr>
            <w:tcW w:type="dxa" w:w="2102"/>
            <w:vAlign w:val="center"/>
          </w:tcPr>
          <w:p>
            <w:r>
              <w:rPr>
                <w:sz w:val="14"/>
              </w:rPr>
              <w:t>18%</w:t>
            </w:r>
          </w:p>
        </w:tc>
        <w:tc>
          <w:tcPr>
            <w:tcW w:type="dxa" w:w="2102"/>
            <w:vAlign w:val="center"/>
          </w:tcPr>
          <w:p>
            <w:r>
              <w:rPr>
                <w:sz w:val="14"/>
              </w:rPr>
              <w:t>S23/Assumption</w:t>
            </w:r>
          </w:p>
        </w:tc>
      </w:tr>
      <w:tr>
        <w:tc>
          <w:tcPr>
            <w:tcW w:type="dxa" w:w="2102"/>
            <w:vAlign w:val="center"/>
          </w:tcPr>
          <w:p>
            <w:r>
              <w:rPr>
                <w:sz w:val="14"/>
              </w:rPr>
              <w:t>Restroom / Laundry Attendants</w:t>
            </w:r>
          </w:p>
        </w:tc>
        <w:tc>
          <w:tcPr>
            <w:tcW w:type="dxa" w:w="2102"/>
            <w:vAlign w:val="center"/>
          </w:tcPr>
          <w:p>
            <w:r>
              <w:rPr>
                <w:sz w:val="14"/>
              </w:rPr>
              <w:t>4</w:t>
            </w:r>
          </w:p>
        </w:tc>
        <w:tc>
          <w:tcPr>
            <w:tcW w:type="dxa" w:w="2102"/>
            <w:vAlign w:val="center"/>
          </w:tcPr>
          <w:p>
            <w:r>
              <w:rPr>
                <w:sz w:val="14"/>
              </w:rPr>
              <w:t>Rs.22,000</w:t>
            </w:r>
          </w:p>
        </w:tc>
        <w:tc>
          <w:tcPr>
            <w:tcW w:type="dxa" w:w="2102"/>
            <w:vAlign w:val="center"/>
          </w:tcPr>
          <w:p>
            <w:r>
              <w:rPr>
                <w:sz w:val="14"/>
              </w:rPr>
              <w:t>18%</w:t>
            </w:r>
          </w:p>
        </w:tc>
        <w:tc>
          <w:tcPr>
            <w:tcW w:type="dxa" w:w="2102"/>
            <w:vAlign w:val="center"/>
          </w:tcPr>
          <w:p>
            <w:r>
              <w:rPr>
                <w:sz w:val="14"/>
              </w:rPr>
              <w:t>S23/Assumption</w:t>
            </w:r>
          </w:p>
        </w:tc>
      </w:tr>
    </w:tbl>
    <w:p>
      <w:r>
        <w:br w:type="page"/>
      </w:r>
    </w:p>
    <w:p>
      <w:pPr>
        <w:pStyle w:val="Heading1"/>
      </w:pPr>
      <w:r>
        <w:t>32. Staffing Cost Detail - Grounds</w:t>
      </w:r>
    </w:p>
    <w:p>
      <w:pPr>
        <w:spacing w:after="100"/>
      </w:pPr>
      <w:r>
        <w:t>The monthly salary numbers below are planning assumptions. The Excel model adds an 18% employer/statutory/benefit load. Final payroll must be validated through role specifications, local recruitment and outsourcing quotations.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Role</w:t>
            </w:r>
          </w:p>
        </w:tc>
        <w:tc>
          <w:tcPr>
            <w:tcW w:type="dxa" w:w="2102"/>
            <w:shd w:fill="18304A"/>
          </w:tcPr>
          <w:p>
            <w:r>
              <w:rPr>
                <w:b/>
                <w:color w:val="FFFFFF"/>
                <w:sz w:val="14"/>
              </w:rPr>
              <w:t>FTE</w:t>
            </w:r>
          </w:p>
        </w:tc>
        <w:tc>
          <w:tcPr>
            <w:tcW w:type="dxa" w:w="2102"/>
            <w:shd w:fill="18304A"/>
          </w:tcPr>
          <w:p>
            <w:r>
              <w:rPr>
                <w:b/>
                <w:color w:val="FFFFFF"/>
                <w:sz w:val="14"/>
              </w:rPr>
              <w:t>Monthly/FTE</w:t>
            </w:r>
          </w:p>
        </w:tc>
        <w:tc>
          <w:tcPr>
            <w:tcW w:type="dxa" w:w="2102"/>
            <w:shd w:fill="18304A"/>
          </w:tcPr>
          <w:p>
            <w:r>
              <w:rPr>
                <w:b/>
                <w:color w:val="FFFFFF"/>
                <w:sz w:val="14"/>
              </w:rPr>
              <w:t>Load</w:t>
            </w:r>
          </w:p>
        </w:tc>
        <w:tc>
          <w:tcPr>
            <w:tcW w:type="dxa" w:w="2102"/>
            <w:shd w:fill="18304A"/>
          </w:tcPr>
          <w:p>
            <w:r>
              <w:rPr>
                <w:b/>
                <w:color w:val="FFFFFF"/>
                <w:sz w:val="14"/>
              </w:rPr>
              <w:t>Source/Basis</w:t>
            </w:r>
          </w:p>
        </w:tc>
      </w:tr>
      <w:tr>
        <w:tc>
          <w:tcPr>
            <w:tcW w:type="dxa" w:w="2102"/>
            <w:vAlign w:val="center"/>
          </w:tcPr>
          <w:p>
            <w:r>
              <w:rPr>
                <w:sz w:val="14"/>
              </w:rPr>
              <w:t>Grounds / Turf Manager</w:t>
            </w:r>
          </w:p>
        </w:tc>
        <w:tc>
          <w:tcPr>
            <w:tcW w:type="dxa" w:w="2102"/>
            <w:vAlign w:val="center"/>
          </w:tcPr>
          <w:p>
            <w:r>
              <w:rPr>
                <w:sz w:val="14"/>
              </w:rPr>
              <w:t>1</w:t>
            </w:r>
          </w:p>
        </w:tc>
        <w:tc>
          <w:tcPr>
            <w:tcW w:type="dxa" w:w="2102"/>
            <w:vAlign w:val="center"/>
          </w:tcPr>
          <w:p>
            <w:r>
              <w:rPr>
                <w:sz w:val="14"/>
              </w:rPr>
              <w:t>Rs.60,000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Grounds Crew</w:t>
            </w:r>
          </w:p>
        </w:tc>
        <w:tc>
          <w:tcPr>
            <w:tcW w:type="dxa" w:w="2102"/>
            <w:vAlign w:val="center"/>
          </w:tcPr>
          <w:p>
            <w:r>
              <w:rPr>
                <w:sz w:val="14"/>
              </w:rPr>
              <w:t>8</w:t>
            </w:r>
          </w:p>
        </w:tc>
        <w:tc>
          <w:tcPr>
            <w:tcW w:type="dxa" w:w="2102"/>
            <w:vAlign w:val="center"/>
          </w:tcPr>
          <w:p>
            <w:r>
              <w:rPr>
                <w:sz w:val="14"/>
              </w:rPr>
              <w:t>Rs.28,000</w:t>
            </w:r>
          </w:p>
        </w:tc>
        <w:tc>
          <w:tcPr>
            <w:tcW w:type="dxa" w:w="2102"/>
            <w:vAlign w:val="center"/>
          </w:tcPr>
          <w:p>
            <w:r>
              <w:rPr>
                <w:sz w:val="14"/>
              </w:rPr>
              <w:t>18%</w:t>
            </w:r>
          </w:p>
        </w:tc>
        <w:tc>
          <w:tcPr>
            <w:tcW w:type="dxa" w:w="2102"/>
            <w:vAlign w:val="center"/>
          </w:tcPr>
          <w:p>
            <w:r>
              <w:rPr>
                <w:sz w:val="14"/>
              </w:rPr>
              <w:t>Assumption</w:t>
            </w:r>
          </w:p>
        </w:tc>
      </w:tr>
    </w:tbl>
    <w:p>
      <w:r>
        <w:br w:type="page"/>
      </w:r>
    </w:p>
    <w:p>
      <w:pPr>
        <w:pStyle w:val="Heading1"/>
      </w:pPr>
      <w:r>
        <w:t>33. Staffing Cost Detail - Food</w:t>
      </w:r>
    </w:p>
    <w:p>
      <w:pPr>
        <w:spacing w:after="100"/>
      </w:pPr>
      <w:r>
        <w:t>The monthly salary numbers below are planning assumptions. The Excel model adds an 18% employer/statutory/benefit load. Final payroll must be validated through role specifications, local recruitment and outsourcing quotations.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Role</w:t>
            </w:r>
          </w:p>
        </w:tc>
        <w:tc>
          <w:tcPr>
            <w:tcW w:type="dxa" w:w="2102"/>
            <w:shd w:fill="18304A"/>
          </w:tcPr>
          <w:p>
            <w:r>
              <w:rPr>
                <w:b/>
                <w:color w:val="FFFFFF"/>
                <w:sz w:val="14"/>
              </w:rPr>
              <w:t>FTE</w:t>
            </w:r>
          </w:p>
        </w:tc>
        <w:tc>
          <w:tcPr>
            <w:tcW w:type="dxa" w:w="2102"/>
            <w:shd w:fill="18304A"/>
          </w:tcPr>
          <w:p>
            <w:r>
              <w:rPr>
                <w:b/>
                <w:color w:val="FFFFFF"/>
                <w:sz w:val="14"/>
              </w:rPr>
              <w:t>Monthly/FTE</w:t>
            </w:r>
          </w:p>
        </w:tc>
        <w:tc>
          <w:tcPr>
            <w:tcW w:type="dxa" w:w="2102"/>
            <w:shd w:fill="18304A"/>
          </w:tcPr>
          <w:p>
            <w:r>
              <w:rPr>
                <w:b/>
                <w:color w:val="FFFFFF"/>
                <w:sz w:val="14"/>
              </w:rPr>
              <w:t>Load</w:t>
            </w:r>
          </w:p>
        </w:tc>
        <w:tc>
          <w:tcPr>
            <w:tcW w:type="dxa" w:w="2102"/>
            <w:shd w:fill="18304A"/>
          </w:tcPr>
          <w:p>
            <w:r>
              <w:rPr>
                <w:b/>
                <w:color w:val="FFFFFF"/>
                <w:sz w:val="14"/>
              </w:rPr>
              <w:t>Source/Basis</w:t>
            </w:r>
          </w:p>
        </w:tc>
      </w:tr>
      <w:tr>
        <w:tc>
          <w:tcPr>
            <w:tcW w:type="dxa" w:w="2102"/>
            <w:vAlign w:val="center"/>
          </w:tcPr>
          <w:p>
            <w:r>
              <w:rPr>
                <w:sz w:val="14"/>
              </w:rPr>
              <w:t>Kitchen Manager</w:t>
            </w:r>
          </w:p>
        </w:tc>
        <w:tc>
          <w:tcPr>
            <w:tcW w:type="dxa" w:w="2102"/>
            <w:vAlign w:val="center"/>
          </w:tcPr>
          <w:p>
            <w:r>
              <w:rPr>
                <w:sz w:val="14"/>
              </w:rPr>
              <w:t>1</w:t>
            </w:r>
          </w:p>
        </w:tc>
        <w:tc>
          <w:tcPr>
            <w:tcW w:type="dxa" w:w="2102"/>
            <w:vAlign w:val="center"/>
          </w:tcPr>
          <w:p>
            <w:r>
              <w:rPr>
                <w:sz w:val="14"/>
              </w:rPr>
              <w:t>Rs.55,000</w:t>
            </w:r>
          </w:p>
        </w:tc>
        <w:tc>
          <w:tcPr>
            <w:tcW w:type="dxa" w:w="2102"/>
            <w:vAlign w:val="center"/>
          </w:tcPr>
          <w:p>
            <w:r>
              <w:rPr>
                <w:sz w:val="14"/>
              </w:rPr>
              <w:t>18%</w:t>
            </w:r>
          </w:p>
        </w:tc>
        <w:tc>
          <w:tcPr>
            <w:tcW w:type="dxa" w:w="2102"/>
            <w:vAlign w:val="center"/>
          </w:tcPr>
          <w:p>
            <w:r>
              <w:rPr>
                <w:sz w:val="14"/>
              </w:rPr>
              <w:t>S22/Assumption</w:t>
            </w:r>
          </w:p>
        </w:tc>
      </w:tr>
      <w:tr>
        <w:tc>
          <w:tcPr>
            <w:tcW w:type="dxa" w:w="2102"/>
            <w:vAlign w:val="center"/>
          </w:tcPr>
          <w:p>
            <w:r>
              <w:rPr>
                <w:sz w:val="14"/>
              </w:rPr>
              <w:t>Cooks</w:t>
            </w:r>
          </w:p>
        </w:tc>
        <w:tc>
          <w:tcPr>
            <w:tcW w:type="dxa" w:w="2102"/>
            <w:vAlign w:val="center"/>
          </w:tcPr>
          <w:p>
            <w:r>
              <w:rPr>
                <w:sz w:val="14"/>
              </w:rPr>
              <w:t>4</w:t>
            </w:r>
          </w:p>
        </w:tc>
        <w:tc>
          <w:tcPr>
            <w:tcW w:type="dxa" w:w="2102"/>
            <w:vAlign w:val="center"/>
          </w:tcPr>
          <w:p>
            <w:r>
              <w:rPr>
                <w:sz w:val="14"/>
              </w:rPr>
              <w:t>Rs.35,000</w:t>
            </w:r>
          </w:p>
        </w:tc>
        <w:tc>
          <w:tcPr>
            <w:tcW w:type="dxa" w:w="2102"/>
            <w:vAlign w:val="center"/>
          </w:tcPr>
          <w:p>
            <w:r>
              <w:rPr>
                <w:sz w:val="14"/>
              </w:rPr>
              <w:t>18%</w:t>
            </w:r>
          </w:p>
        </w:tc>
        <w:tc>
          <w:tcPr>
            <w:tcW w:type="dxa" w:w="2102"/>
            <w:vAlign w:val="center"/>
          </w:tcPr>
          <w:p>
            <w:r>
              <w:rPr>
                <w:sz w:val="14"/>
              </w:rPr>
              <w:t>S22/Assumption</w:t>
            </w:r>
          </w:p>
        </w:tc>
      </w:tr>
      <w:tr>
        <w:tc>
          <w:tcPr>
            <w:tcW w:type="dxa" w:w="2102"/>
            <w:vAlign w:val="center"/>
          </w:tcPr>
          <w:p>
            <w:r>
              <w:rPr>
                <w:sz w:val="14"/>
              </w:rPr>
              <w:t>Kitchen Assistants</w:t>
            </w:r>
          </w:p>
        </w:tc>
        <w:tc>
          <w:tcPr>
            <w:tcW w:type="dxa" w:w="2102"/>
            <w:vAlign w:val="center"/>
          </w:tcPr>
          <w:p>
            <w:r>
              <w:rPr>
                <w:sz w:val="14"/>
              </w:rPr>
              <w:t>6</w:t>
            </w:r>
          </w:p>
        </w:tc>
        <w:tc>
          <w:tcPr>
            <w:tcW w:type="dxa" w:w="2102"/>
            <w:vAlign w:val="center"/>
          </w:tcPr>
          <w:p>
            <w:r>
              <w:rPr>
                <w:sz w:val="14"/>
              </w:rPr>
              <w:t>Rs.24,000</w:t>
            </w:r>
          </w:p>
        </w:tc>
        <w:tc>
          <w:tcPr>
            <w:tcW w:type="dxa" w:w="2102"/>
            <w:vAlign w:val="center"/>
          </w:tcPr>
          <w:p>
            <w:r>
              <w:rPr>
                <w:sz w:val="14"/>
              </w:rPr>
              <w:t>18%</w:t>
            </w:r>
          </w:p>
        </w:tc>
        <w:tc>
          <w:tcPr>
            <w:tcW w:type="dxa" w:w="2102"/>
            <w:vAlign w:val="center"/>
          </w:tcPr>
          <w:p>
            <w:r>
              <w:rPr>
                <w:sz w:val="14"/>
              </w:rPr>
              <w:t>S22/Assumption</w:t>
            </w:r>
          </w:p>
        </w:tc>
      </w:tr>
      <w:tr>
        <w:tc>
          <w:tcPr>
            <w:tcW w:type="dxa" w:w="2102"/>
            <w:vAlign w:val="center"/>
          </w:tcPr>
          <w:p>
            <w:r>
              <w:rPr>
                <w:sz w:val="14"/>
              </w:rPr>
              <w:t>Dietitian / Nutritionist</w:t>
            </w:r>
          </w:p>
        </w:tc>
        <w:tc>
          <w:tcPr>
            <w:tcW w:type="dxa" w:w="2102"/>
            <w:vAlign w:val="center"/>
          </w:tcPr>
          <w:p>
            <w:r>
              <w:rPr>
                <w:sz w:val="14"/>
              </w:rPr>
              <w:t>1</w:t>
            </w:r>
          </w:p>
        </w:tc>
        <w:tc>
          <w:tcPr>
            <w:tcW w:type="dxa" w:w="2102"/>
            <w:vAlign w:val="center"/>
          </w:tcPr>
          <w:p>
            <w:r>
              <w:rPr>
                <w:sz w:val="14"/>
              </w:rPr>
              <w:t>Rs.60,000</w:t>
            </w:r>
          </w:p>
        </w:tc>
        <w:tc>
          <w:tcPr>
            <w:tcW w:type="dxa" w:w="2102"/>
            <w:vAlign w:val="center"/>
          </w:tcPr>
          <w:p>
            <w:r>
              <w:rPr>
                <w:sz w:val="14"/>
              </w:rPr>
              <w:t>18%</w:t>
            </w:r>
          </w:p>
        </w:tc>
        <w:tc>
          <w:tcPr>
            <w:tcW w:type="dxa" w:w="2102"/>
            <w:vAlign w:val="center"/>
          </w:tcPr>
          <w:p>
            <w:r>
              <w:rPr>
                <w:sz w:val="14"/>
              </w:rPr>
              <w:t>Assumption</w:t>
            </w:r>
          </w:p>
        </w:tc>
      </w:tr>
    </w:tbl>
    <w:p>
      <w:r>
        <w:br w:type="page"/>
      </w:r>
    </w:p>
    <w:p>
      <w:pPr>
        <w:pStyle w:val="Heading1"/>
      </w:pPr>
      <w:r>
        <w:t>34. Staffing Cost Detail - Healthcare</w:t>
      </w:r>
    </w:p>
    <w:p>
      <w:pPr>
        <w:spacing w:after="100"/>
      </w:pPr>
      <w:r>
        <w:t>The monthly salary numbers below are planning assumptions. The Excel model adds an 18% employer/statutory/benefit load. Final payroll must be validated through role specifications, local recruitment and outsourcing quotations.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Role</w:t>
            </w:r>
          </w:p>
        </w:tc>
        <w:tc>
          <w:tcPr>
            <w:tcW w:type="dxa" w:w="2102"/>
            <w:shd w:fill="18304A"/>
          </w:tcPr>
          <w:p>
            <w:r>
              <w:rPr>
                <w:b/>
                <w:color w:val="FFFFFF"/>
                <w:sz w:val="14"/>
              </w:rPr>
              <w:t>FTE</w:t>
            </w:r>
          </w:p>
        </w:tc>
        <w:tc>
          <w:tcPr>
            <w:tcW w:type="dxa" w:w="2102"/>
            <w:shd w:fill="18304A"/>
          </w:tcPr>
          <w:p>
            <w:r>
              <w:rPr>
                <w:b/>
                <w:color w:val="FFFFFF"/>
                <w:sz w:val="14"/>
              </w:rPr>
              <w:t>Monthly/FTE</w:t>
            </w:r>
          </w:p>
        </w:tc>
        <w:tc>
          <w:tcPr>
            <w:tcW w:type="dxa" w:w="2102"/>
            <w:shd w:fill="18304A"/>
          </w:tcPr>
          <w:p>
            <w:r>
              <w:rPr>
                <w:b/>
                <w:color w:val="FFFFFF"/>
                <w:sz w:val="14"/>
              </w:rPr>
              <w:t>Load</w:t>
            </w:r>
          </w:p>
        </w:tc>
        <w:tc>
          <w:tcPr>
            <w:tcW w:type="dxa" w:w="2102"/>
            <w:shd w:fill="18304A"/>
          </w:tcPr>
          <w:p>
            <w:r>
              <w:rPr>
                <w:b/>
                <w:color w:val="FFFFFF"/>
                <w:sz w:val="14"/>
              </w:rPr>
              <w:t>Source/Basis</w:t>
            </w:r>
          </w:p>
        </w:tc>
      </w:tr>
      <w:tr>
        <w:tc>
          <w:tcPr>
            <w:tcW w:type="dxa" w:w="2102"/>
            <w:vAlign w:val="center"/>
          </w:tcPr>
          <w:p>
            <w:r>
              <w:rPr>
                <w:sz w:val="14"/>
              </w:rPr>
              <w:t>Nurses / EMT</w:t>
            </w:r>
          </w:p>
        </w:tc>
        <w:tc>
          <w:tcPr>
            <w:tcW w:type="dxa" w:w="2102"/>
            <w:vAlign w:val="center"/>
          </w:tcPr>
          <w:p>
            <w:r>
              <w:rPr>
                <w:sz w:val="14"/>
              </w:rPr>
              <w:t>3</w:t>
            </w:r>
          </w:p>
        </w:tc>
        <w:tc>
          <w:tcPr>
            <w:tcW w:type="dxa" w:w="2102"/>
            <w:vAlign w:val="center"/>
          </w:tcPr>
          <w:p>
            <w:r>
              <w:rPr>
                <w:sz w:val="14"/>
              </w:rPr>
              <w:t>Rs.40,000</w:t>
            </w:r>
          </w:p>
        </w:tc>
        <w:tc>
          <w:tcPr>
            <w:tcW w:type="dxa" w:w="2102"/>
            <w:vAlign w:val="center"/>
          </w:tcPr>
          <w:p>
            <w:r>
              <w:rPr>
                <w:sz w:val="14"/>
              </w:rPr>
              <w:t>18%</w:t>
            </w:r>
          </w:p>
        </w:tc>
        <w:tc>
          <w:tcPr>
            <w:tcW w:type="dxa" w:w="2102"/>
            <w:vAlign w:val="center"/>
          </w:tcPr>
          <w:p>
            <w:r>
              <w:rPr>
                <w:sz w:val="14"/>
              </w:rPr>
              <w:t>S17/Assumption</w:t>
            </w:r>
          </w:p>
        </w:tc>
      </w:tr>
    </w:tbl>
    <w:p>
      <w:r>
        <w:br w:type="page"/>
      </w:r>
    </w:p>
    <w:p>
      <w:pPr>
        <w:pStyle w:val="Heading1"/>
      </w:pPr>
      <w:r>
        <w:t>35. Staffing Cost Detail - Transport</w:t>
      </w:r>
    </w:p>
    <w:p>
      <w:pPr>
        <w:spacing w:after="100"/>
      </w:pPr>
      <w:r>
        <w:t>The monthly salary numbers below are planning assumptions. The Excel model adds an 18% employer/statutory/benefit load. Final payroll must be validated through role specifications, local recruitment and outsourcing quotations.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Role</w:t>
            </w:r>
          </w:p>
        </w:tc>
        <w:tc>
          <w:tcPr>
            <w:tcW w:type="dxa" w:w="2102"/>
            <w:shd w:fill="18304A"/>
          </w:tcPr>
          <w:p>
            <w:r>
              <w:rPr>
                <w:b/>
                <w:color w:val="FFFFFF"/>
                <w:sz w:val="14"/>
              </w:rPr>
              <w:t>FTE</w:t>
            </w:r>
          </w:p>
        </w:tc>
        <w:tc>
          <w:tcPr>
            <w:tcW w:type="dxa" w:w="2102"/>
            <w:shd w:fill="18304A"/>
          </w:tcPr>
          <w:p>
            <w:r>
              <w:rPr>
                <w:b/>
                <w:color w:val="FFFFFF"/>
                <w:sz w:val="14"/>
              </w:rPr>
              <w:t>Monthly/FTE</w:t>
            </w:r>
          </w:p>
        </w:tc>
        <w:tc>
          <w:tcPr>
            <w:tcW w:type="dxa" w:w="2102"/>
            <w:shd w:fill="18304A"/>
          </w:tcPr>
          <w:p>
            <w:r>
              <w:rPr>
                <w:b/>
                <w:color w:val="FFFFFF"/>
                <w:sz w:val="14"/>
              </w:rPr>
              <w:t>Load</w:t>
            </w:r>
          </w:p>
        </w:tc>
        <w:tc>
          <w:tcPr>
            <w:tcW w:type="dxa" w:w="2102"/>
            <w:shd w:fill="18304A"/>
          </w:tcPr>
          <w:p>
            <w:r>
              <w:rPr>
                <w:b/>
                <w:color w:val="FFFFFF"/>
                <w:sz w:val="14"/>
              </w:rPr>
              <w:t>Source/Basis</w:t>
            </w:r>
          </w:p>
        </w:tc>
      </w:tr>
      <w:tr>
        <w:tc>
          <w:tcPr>
            <w:tcW w:type="dxa" w:w="2102"/>
            <w:vAlign w:val="center"/>
          </w:tcPr>
          <w:p>
            <w:r>
              <w:rPr>
                <w:sz w:val="14"/>
              </w:rPr>
              <w:t>Transport Coordinator</w:t>
            </w:r>
          </w:p>
        </w:tc>
        <w:tc>
          <w:tcPr>
            <w:tcW w:type="dxa" w:w="2102"/>
            <w:vAlign w:val="center"/>
          </w:tcPr>
          <w:p>
            <w:r>
              <w:rPr>
                <w:sz w:val="14"/>
              </w:rPr>
              <w:t>1</w:t>
            </w:r>
          </w:p>
        </w:tc>
        <w:tc>
          <w:tcPr>
            <w:tcW w:type="dxa" w:w="2102"/>
            <w:vAlign w:val="center"/>
          </w:tcPr>
          <w:p>
            <w:r>
              <w:rPr>
                <w:sz w:val="14"/>
              </w:rPr>
              <w:t>Rs.45,000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Drivers</w:t>
            </w:r>
          </w:p>
        </w:tc>
        <w:tc>
          <w:tcPr>
            <w:tcW w:type="dxa" w:w="2102"/>
            <w:vAlign w:val="center"/>
          </w:tcPr>
          <w:p>
            <w:r>
              <w:rPr>
                <w:sz w:val="14"/>
              </w:rPr>
              <w:t>6</w:t>
            </w:r>
          </w:p>
        </w:tc>
        <w:tc>
          <w:tcPr>
            <w:tcW w:type="dxa" w:w="2102"/>
            <w:vAlign w:val="center"/>
          </w:tcPr>
          <w:p>
            <w:r>
              <w:rPr>
                <w:sz w:val="14"/>
              </w:rPr>
              <w:t>Rs.28,000</w:t>
            </w:r>
          </w:p>
        </w:tc>
        <w:tc>
          <w:tcPr>
            <w:tcW w:type="dxa" w:w="2102"/>
            <w:vAlign w:val="center"/>
          </w:tcPr>
          <w:p>
            <w:r>
              <w:rPr>
                <w:sz w:val="14"/>
              </w:rPr>
              <w:t>18%</w:t>
            </w:r>
          </w:p>
        </w:tc>
        <w:tc>
          <w:tcPr>
            <w:tcW w:type="dxa" w:w="2102"/>
            <w:vAlign w:val="center"/>
          </w:tcPr>
          <w:p>
            <w:r>
              <w:rPr>
                <w:sz w:val="14"/>
              </w:rPr>
              <w:t>S17/S23/Assumption</w:t>
            </w:r>
          </w:p>
        </w:tc>
      </w:tr>
      <w:tr>
        <w:tc>
          <w:tcPr>
            <w:tcW w:type="dxa" w:w="2102"/>
            <w:vAlign w:val="center"/>
          </w:tcPr>
          <w:p>
            <w:r>
              <w:rPr>
                <w:sz w:val="14"/>
              </w:rPr>
              <w:t>Bus Attendants</w:t>
            </w:r>
          </w:p>
        </w:tc>
        <w:tc>
          <w:tcPr>
            <w:tcW w:type="dxa" w:w="2102"/>
            <w:vAlign w:val="center"/>
          </w:tcPr>
          <w:p>
            <w:r>
              <w:rPr>
                <w:sz w:val="14"/>
              </w:rPr>
              <w:t>6</w:t>
            </w:r>
          </w:p>
        </w:tc>
        <w:tc>
          <w:tcPr>
            <w:tcW w:type="dxa" w:w="2102"/>
            <w:vAlign w:val="center"/>
          </w:tcPr>
          <w:p>
            <w:r>
              <w:rPr>
                <w:sz w:val="14"/>
              </w:rPr>
              <w:t>Rs.22,000</w:t>
            </w:r>
          </w:p>
        </w:tc>
        <w:tc>
          <w:tcPr>
            <w:tcW w:type="dxa" w:w="2102"/>
            <w:vAlign w:val="center"/>
          </w:tcPr>
          <w:p>
            <w:r>
              <w:rPr>
                <w:sz w:val="14"/>
              </w:rPr>
              <w:t>18%</w:t>
            </w:r>
          </w:p>
        </w:tc>
        <w:tc>
          <w:tcPr>
            <w:tcW w:type="dxa" w:w="2102"/>
            <w:vAlign w:val="center"/>
          </w:tcPr>
          <w:p>
            <w:r>
              <w:rPr>
                <w:sz w:val="14"/>
              </w:rPr>
              <w:t>S17/Assumption</w:t>
            </w:r>
          </w:p>
        </w:tc>
      </w:tr>
    </w:tbl>
    <w:p>
      <w:r>
        <w:br w:type="page"/>
      </w:r>
    </w:p>
    <w:p>
      <w:pPr>
        <w:pStyle w:val="Heading1"/>
      </w:pPr>
      <w:r>
        <w:t>36. Staffing Cost Detail - IT / Facilities</w:t>
      </w:r>
    </w:p>
    <w:p>
      <w:pPr>
        <w:spacing w:after="100"/>
      </w:pPr>
      <w:r>
        <w:t>The monthly salary numbers below are planning assumptions. The Excel model adds an 18% employer/statutory/benefit load. Final payroll must be validated through role specifications, local recruitment and outsourcing quotations.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Role</w:t>
            </w:r>
          </w:p>
        </w:tc>
        <w:tc>
          <w:tcPr>
            <w:tcW w:type="dxa" w:w="2102"/>
            <w:shd w:fill="18304A"/>
          </w:tcPr>
          <w:p>
            <w:r>
              <w:rPr>
                <w:b/>
                <w:color w:val="FFFFFF"/>
                <w:sz w:val="14"/>
              </w:rPr>
              <w:t>FTE</w:t>
            </w:r>
          </w:p>
        </w:tc>
        <w:tc>
          <w:tcPr>
            <w:tcW w:type="dxa" w:w="2102"/>
            <w:shd w:fill="18304A"/>
          </w:tcPr>
          <w:p>
            <w:r>
              <w:rPr>
                <w:b/>
                <w:color w:val="FFFFFF"/>
                <w:sz w:val="14"/>
              </w:rPr>
              <w:t>Monthly/FTE</w:t>
            </w:r>
          </w:p>
        </w:tc>
        <w:tc>
          <w:tcPr>
            <w:tcW w:type="dxa" w:w="2102"/>
            <w:shd w:fill="18304A"/>
          </w:tcPr>
          <w:p>
            <w:r>
              <w:rPr>
                <w:b/>
                <w:color w:val="FFFFFF"/>
                <w:sz w:val="14"/>
              </w:rPr>
              <w:t>Load</w:t>
            </w:r>
          </w:p>
        </w:tc>
        <w:tc>
          <w:tcPr>
            <w:tcW w:type="dxa" w:w="2102"/>
            <w:shd w:fill="18304A"/>
          </w:tcPr>
          <w:p>
            <w:r>
              <w:rPr>
                <w:b/>
                <w:color w:val="FFFFFF"/>
                <w:sz w:val="14"/>
              </w:rPr>
              <w:t>Source/Basis</w:t>
            </w:r>
          </w:p>
        </w:tc>
      </w:tr>
      <w:tr>
        <w:tc>
          <w:tcPr>
            <w:tcW w:type="dxa" w:w="2102"/>
            <w:vAlign w:val="center"/>
          </w:tcPr>
          <w:p>
            <w:r>
              <w:rPr>
                <w:sz w:val="14"/>
              </w:rPr>
              <w:t>IT / Systems Administrators</w:t>
            </w:r>
          </w:p>
        </w:tc>
        <w:tc>
          <w:tcPr>
            <w:tcW w:type="dxa" w:w="2102"/>
            <w:vAlign w:val="center"/>
          </w:tcPr>
          <w:p>
            <w:r>
              <w:rPr>
                <w:sz w:val="14"/>
              </w:rPr>
              <w:t>2</w:t>
            </w:r>
          </w:p>
        </w:tc>
        <w:tc>
          <w:tcPr>
            <w:tcW w:type="dxa" w:w="2102"/>
            <w:vAlign w:val="center"/>
          </w:tcPr>
          <w:p>
            <w:r>
              <w:rPr>
                <w:sz w:val="14"/>
              </w:rPr>
              <w:t>Rs.50,000</w:t>
            </w:r>
          </w:p>
        </w:tc>
        <w:tc>
          <w:tcPr>
            <w:tcW w:type="dxa" w:w="2102"/>
            <w:vAlign w:val="center"/>
          </w:tcPr>
          <w:p>
            <w:r>
              <w:rPr>
                <w:sz w:val="14"/>
              </w:rPr>
              <w:t>18%</w:t>
            </w:r>
          </w:p>
        </w:tc>
        <w:tc>
          <w:tcPr>
            <w:tcW w:type="dxa" w:w="2102"/>
            <w:vAlign w:val="center"/>
          </w:tcPr>
          <w:p>
            <w:r>
              <w:rPr>
                <w:sz w:val="14"/>
              </w:rPr>
              <w:t>Assumption</w:t>
            </w:r>
          </w:p>
        </w:tc>
      </w:tr>
      <w:tr>
        <w:tc>
          <w:tcPr>
            <w:tcW w:type="dxa" w:w="2102"/>
            <w:vAlign w:val="center"/>
          </w:tcPr>
          <w:p>
            <w:r>
              <w:rPr>
                <w:sz w:val="14"/>
              </w:rPr>
              <w:t>Facilities Technicians</w:t>
            </w:r>
          </w:p>
        </w:tc>
        <w:tc>
          <w:tcPr>
            <w:tcW w:type="dxa" w:w="2102"/>
            <w:vAlign w:val="center"/>
          </w:tcPr>
          <w:p>
            <w:r>
              <w:rPr>
                <w:sz w:val="14"/>
              </w:rPr>
              <w:t>3</w:t>
            </w:r>
          </w:p>
        </w:tc>
        <w:tc>
          <w:tcPr>
            <w:tcW w:type="dxa" w:w="2102"/>
            <w:vAlign w:val="center"/>
          </w:tcPr>
          <w:p>
            <w:r>
              <w:rPr>
                <w:sz w:val="14"/>
              </w:rPr>
              <w:t>Rs.35,000</w:t>
            </w:r>
          </w:p>
        </w:tc>
        <w:tc>
          <w:tcPr>
            <w:tcW w:type="dxa" w:w="2102"/>
            <w:vAlign w:val="center"/>
          </w:tcPr>
          <w:p>
            <w:r>
              <w:rPr>
                <w:sz w:val="14"/>
              </w:rPr>
              <w:t>18%</w:t>
            </w:r>
          </w:p>
        </w:tc>
        <w:tc>
          <w:tcPr>
            <w:tcW w:type="dxa" w:w="2102"/>
            <w:vAlign w:val="center"/>
          </w:tcPr>
          <w:p>
            <w:r>
              <w:rPr>
                <w:sz w:val="14"/>
              </w:rPr>
              <w:t>Assumption</w:t>
            </w:r>
          </w:p>
        </w:tc>
      </w:tr>
    </w:tbl>
    <w:p>
      <w:r>
        <w:br w:type="page"/>
      </w:r>
    </w:p>
    <w:p>
      <w:pPr>
        <w:pStyle w:val="Heading1"/>
      </w:pPr>
      <w:r>
        <w:t>37. Direct Operating Costs</w:t>
      </w:r>
    </w:p>
    <w:p>
      <w:pPr>
        <w:spacing w:after="100"/>
      </w:pPr>
      <w:r>
        <w:t>Direct operating costs rise with utilisation and include food, transport, programme delivery, maintenance and equipment replacement. Payroll is shown separately.</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2628"/>
            <w:shd w:fill="18304A"/>
          </w:tcPr>
          <w:p>
            <w:r>
              <w:rPr>
                <w:b/>
                <w:color w:val="FFFFFF"/>
                <w:sz w:val="14"/>
              </w:rPr>
              <w:t>Item</w:t>
            </w:r>
          </w:p>
        </w:tc>
        <w:tc>
          <w:tcPr>
            <w:tcW w:type="dxa" w:w="2628"/>
            <w:shd w:fill="18304A"/>
          </w:tcPr>
          <w:p>
            <w:r>
              <w:rPr>
                <w:b/>
                <w:color w:val="FFFFFF"/>
                <w:sz w:val="14"/>
              </w:rPr>
              <w:t>Annual Rs. Cr</w:t>
            </w:r>
          </w:p>
        </w:tc>
        <w:tc>
          <w:tcPr>
            <w:tcW w:type="dxa" w:w="2628"/>
            <w:shd w:fill="18304A"/>
          </w:tcPr>
          <w:p>
            <w:r>
              <w:rPr>
                <w:b/>
                <w:color w:val="FFFFFF"/>
                <w:sz w:val="14"/>
              </w:rPr>
              <w:t>Basis</w:t>
            </w:r>
          </w:p>
        </w:tc>
        <w:tc>
          <w:tcPr>
            <w:tcW w:type="dxa" w:w="2628"/>
            <w:shd w:fill="18304A"/>
          </w:tcPr>
          <w:p>
            <w:r>
              <w:rPr>
                <w:b/>
                <w:color w:val="FFFFFF"/>
                <w:sz w:val="14"/>
              </w:rPr>
              <w:t>Note</w:t>
            </w:r>
          </w:p>
        </w:tc>
      </w:tr>
      <w:tr>
        <w:tc>
          <w:tcPr>
            <w:tcW w:type="dxa" w:w="2628"/>
            <w:vAlign w:val="center"/>
          </w:tcPr>
          <w:p>
            <w:r>
              <w:rPr>
                <w:sz w:val="14"/>
              </w:rPr>
              <w:t>Food ingredients / meals</w:t>
            </w:r>
          </w:p>
        </w:tc>
        <w:tc>
          <w:tcPr>
            <w:tcW w:type="dxa" w:w="2628"/>
            <w:vAlign w:val="center"/>
          </w:tcPr>
          <w:p>
            <w:r>
              <w:rPr>
                <w:sz w:val="14"/>
              </w:rPr>
              <w:t>2.4</w:t>
            </w:r>
          </w:p>
        </w:tc>
        <w:tc>
          <w:tcPr>
            <w:tcW w:type="dxa" w:w="2628"/>
            <w:vAlign w:val="center"/>
          </w:tcPr>
          <w:p>
            <w:r>
              <w:rPr>
                <w:sz w:val="14"/>
              </w:rPr>
              <w:t>Assumption</w:t>
            </w:r>
          </w:p>
        </w:tc>
        <w:tc>
          <w:tcPr>
            <w:tcW w:type="dxa" w:w="2628"/>
            <w:vAlign w:val="center"/>
          </w:tcPr>
          <w:p>
            <w:r>
              <w:rPr>
                <w:sz w:val="14"/>
              </w:rPr>
              <w:t>After-school/residential/cafe</w:t>
            </w:r>
          </w:p>
        </w:tc>
      </w:tr>
      <w:tr>
        <w:tc>
          <w:tcPr>
            <w:tcW w:type="dxa" w:w="2628"/>
            <w:vAlign w:val="center"/>
          </w:tcPr>
          <w:p>
            <w:r>
              <w:rPr>
                <w:sz w:val="14"/>
              </w:rPr>
              <w:t>Partner venue &amp; specialist sport fees</w:t>
            </w:r>
          </w:p>
        </w:tc>
        <w:tc>
          <w:tcPr>
            <w:tcW w:type="dxa" w:w="2628"/>
            <w:vAlign w:val="center"/>
          </w:tcPr>
          <w:p>
            <w:r>
              <w:rPr>
                <w:sz w:val="14"/>
              </w:rPr>
              <w:t>1.2</w:t>
            </w:r>
          </w:p>
        </w:tc>
        <w:tc>
          <w:tcPr>
            <w:tcW w:type="dxa" w:w="2628"/>
            <w:vAlign w:val="center"/>
          </w:tcPr>
          <w:p>
            <w:r>
              <w:rPr>
                <w:sz w:val="14"/>
              </w:rPr>
              <w:t>Assumption</w:t>
            </w:r>
          </w:p>
        </w:tc>
        <w:tc>
          <w:tcPr>
            <w:tcW w:type="dxa" w:w="2628"/>
            <w:vAlign w:val="center"/>
          </w:tcPr>
          <w:p>
            <w:r>
              <w:rPr>
                <w:sz w:val="14"/>
              </w:rPr>
              <w:t>Off-site sports</w:t>
            </w:r>
          </w:p>
        </w:tc>
      </w:tr>
      <w:tr>
        <w:tc>
          <w:tcPr>
            <w:tcW w:type="dxa" w:w="2628"/>
            <w:vAlign w:val="center"/>
          </w:tcPr>
          <w:p>
            <w:r>
              <w:rPr>
                <w:sz w:val="14"/>
              </w:rPr>
              <w:t>Utilities - power/water/internet</w:t>
            </w:r>
          </w:p>
        </w:tc>
        <w:tc>
          <w:tcPr>
            <w:tcW w:type="dxa" w:w="2628"/>
            <w:vAlign w:val="center"/>
          </w:tcPr>
          <w:p>
            <w:r>
              <w:rPr>
                <w:sz w:val="14"/>
              </w:rPr>
              <w:t>1.1</w:t>
            </w:r>
          </w:p>
        </w:tc>
        <w:tc>
          <w:tcPr>
            <w:tcW w:type="dxa" w:w="2628"/>
            <w:vAlign w:val="center"/>
          </w:tcPr>
          <w:p>
            <w:r>
              <w:rPr>
                <w:sz w:val="14"/>
              </w:rPr>
              <w:t>Assumption</w:t>
            </w:r>
          </w:p>
        </w:tc>
        <w:tc>
          <w:tcPr>
            <w:tcW w:type="dxa" w:w="2628"/>
            <w:vAlign w:val="center"/>
          </w:tcPr>
          <w:p>
            <w:r>
              <w:rPr>
                <w:sz w:val="14"/>
              </w:rPr>
              <w:t>Engineering validation</w:t>
            </w:r>
          </w:p>
        </w:tc>
      </w:tr>
      <w:tr>
        <w:tc>
          <w:tcPr>
            <w:tcW w:type="dxa" w:w="2628"/>
            <w:vAlign w:val="center"/>
          </w:tcPr>
          <w:p>
            <w:r>
              <w:rPr>
                <w:sz w:val="14"/>
              </w:rPr>
              <w:t>Transport fuel / maintenance</w:t>
            </w:r>
          </w:p>
        </w:tc>
        <w:tc>
          <w:tcPr>
            <w:tcW w:type="dxa" w:w="2628"/>
            <w:vAlign w:val="center"/>
          </w:tcPr>
          <w:p>
            <w:r>
              <w:rPr>
                <w:sz w:val="14"/>
              </w:rPr>
              <w:t>1.2</w:t>
            </w:r>
          </w:p>
        </w:tc>
        <w:tc>
          <w:tcPr>
            <w:tcW w:type="dxa" w:w="2628"/>
            <w:vAlign w:val="center"/>
          </w:tcPr>
          <w:p>
            <w:r>
              <w:rPr>
                <w:sz w:val="14"/>
              </w:rPr>
              <w:t>Assumption</w:t>
            </w:r>
          </w:p>
        </w:tc>
        <w:tc>
          <w:tcPr>
            <w:tcW w:type="dxa" w:w="2628"/>
            <w:vAlign w:val="center"/>
          </w:tcPr>
          <w:p>
            <w:r>
              <w:rPr>
                <w:sz w:val="14"/>
              </w:rPr>
              <w:t>School pickup</w:t>
            </w:r>
          </w:p>
        </w:tc>
      </w:tr>
      <w:tr>
        <w:tc>
          <w:tcPr>
            <w:tcW w:type="dxa" w:w="2628"/>
            <w:vAlign w:val="center"/>
          </w:tcPr>
          <w:p>
            <w:r>
              <w:rPr>
                <w:sz w:val="14"/>
              </w:rPr>
              <w:t>Sports equipment replacement</w:t>
            </w:r>
          </w:p>
        </w:tc>
        <w:tc>
          <w:tcPr>
            <w:tcW w:type="dxa" w:w="2628"/>
            <w:vAlign w:val="center"/>
          </w:tcPr>
          <w:p>
            <w:r>
              <w:rPr>
                <w:sz w:val="14"/>
              </w:rPr>
              <w:t>0.9</w:t>
            </w:r>
          </w:p>
        </w:tc>
        <w:tc>
          <w:tcPr>
            <w:tcW w:type="dxa" w:w="2628"/>
            <w:vAlign w:val="center"/>
          </w:tcPr>
          <w:p>
            <w:r>
              <w:rPr>
                <w:sz w:val="14"/>
              </w:rPr>
              <w:t>Assumption</w:t>
            </w:r>
          </w:p>
        </w:tc>
        <w:tc>
          <w:tcPr>
            <w:tcW w:type="dxa" w:w="2628"/>
            <w:vAlign w:val="center"/>
          </w:tcPr>
          <w:p>
            <w:r>
              <w:rPr>
                <w:sz w:val="14"/>
              </w:rPr>
              <w:t>Annual reserve</w:t>
            </w:r>
          </w:p>
        </w:tc>
      </w:tr>
      <w:tr>
        <w:tc>
          <w:tcPr>
            <w:tcW w:type="dxa" w:w="2628"/>
            <w:vAlign w:val="center"/>
          </w:tcPr>
          <w:p>
            <w:r>
              <w:rPr>
                <w:sz w:val="14"/>
              </w:rPr>
              <w:t>Academic / STEM materials</w:t>
            </w:r>
          </w:p>
        </w:tc>
        <w:tc>
          <w:tcPr>
            <w:tcW w:type="dxa" w:w="2628"/>
            <w:vAlign w:val="center"/>
          </w:tcPr>
          <w:p>
            <w:r>
              <w:rPr>
                <w:sz w:val="14"/>
              </w:rPr>
              <w:t>0.3</w:t>
            </w:r>
          </w:p>
        </w:tc>
        <w:tc>
          <w:tcPr>
            <w:tcW w:type="dxa" w:w="2628"/>
            <w:vAlign w:val="center"/>
          </w:tcPr>
          <w:p>
            <w:r>
              <w:rPr>
                <w:sz w:val="14"/>
              </w:rPr>
              <w:t>Assumption</w:t>
            </w:r>
          </w:p>
        </w:tc>
        <w:tc>
          <w:tcPr>
            <w:tcW w:type="dxa" w:w="2628"/>
            <w:vAlign w:val="center"/>
          </w:tcPr>
          <w:p>
            <w:r>
              <w:rPr>
                <w:sz w:val="14"/>
              </w:rPr>
              <w:t>Consumables</w:t>
            </w:r>
          </w:p>
        </w:tc>
      </w:tr>
      <w:tr>
        <w:tc>
          <w:tcPr>
            <w:tcW w:type="dxa" w:w="2628"/>
            <w:vAlign w:val="center"/>
          </w:tcPr>
          <w:p>
            <w:r>
              <w:rPr>
                <w:sz w:val="14"/>
              </w:rPr>
              <w:t>Ground / turf maintenance materials</w:t>
            </w:r>
          </w:p>
        </w:tc>
        <w:tc>
          <w:tcPr>
            <w:tcW w:type="dxa" w:w="2628"/>
            <w:vAlign w:val="center"/>
          </w:tcPr>
          <w:p>
            <w:r>
              <w:rPr>
                <w:sz w:val="14"/>
              </w:rPr>
              <w:t>0.85</w:t>
            </w:r>
          </w:p>
        </w:tc>
        <w:tc>
          <w:tcPr>
            <w:tcW w:type="dxa" w:w="2628"/>
            <w:vAlign w:val="center"/>
          </w:tcPr>
          <w:p>
            <w:r>
              <w:rPr>
                <w:sz w:val="14"/>
              </w:rPr>
              <w:t>Assumption</w:t>
            </w:r>
          </w:p>
        </w:tc>
        <w:tc>
          <w:tcPr>
            <w:tcW w:type="dxa" w:w="2628"/>
            <w:vAlign w:val="center"/>
          </w:tcPr>
          <w:p>
            <w:r>
              <w:rPr>
                <w:sz w:val="14"/>
              </w:rPr>
              <w:t>Grounds</w:t>
            </w:r>
          </w:p>
        </w:tc>
      </w:tr>
      <w:tr>
        <w:tc>
          <w:tcPr>
            <w:tcW w:type="dxa" w:w="2628"/>
            <w:vAlign w:val="center"/>
          </w:tcPr>
          <w:p>
            <w:r>
              <w:rPr>
                <w:sz w:val="14"/>
              </w:rPr>
              <w:t>Building / MEP maintenance</w:t>
            </w:r>
          </w:p>
        </w:tc>
        <w:tc>
          <w:tcPr>
            <w:tcW w:type="dxa" w:w="2628"/>
            <w:vAlign w:val="center"/>
          </w:tcPr>
          <w:p>
            <w:r>
              <w:rPr>
                <w:sz w:val="14"/>
              </w:rPr>
              <w:t>0.75</w:t>
            </w:r>
          </w:p>
        </w:tc>
        <w:tc>
          <w:tcPr>
            <w:tcW w:type="dxa" w:w="2628"/>
            <w:vAlign w:val="center"/>
          </w:tcPr>
          <w:p>
            <w:r>
              <w:rPr>
                <w:sz w:val="14"/>
              </w:rPr>
              <w:t>Assumption</w:t>
            </w:r>
          </w:p>
        </w:tc>
        <w:tc>
          <w:tcPr>
            <w:tcW w:type="dxa" w:w="2628"/>
            <w:vAlign w:val="center"/>
          </w:tcPr>
          <w:p>
            <w:r>
              <w:rPr>
                <w:sz w:val="14"/>
              </w:rPr>
              <w:t>Facilities</w:t>
            </w:r>
          </w:p>
        </w:tc>
      </w:tr>
      <w:tr>
        <w:tc>
          <w:tcPr>
            <w:tcW w:type="dxa" w:w="2628"/>
            <w:vAlign w:val="center"/>
          </w:tcPr>
          <w:p>
            <w:r>
              <w:rPr>
                <w:sz w:val="14"/>
              </w:rPr>
              <w:t>Cafe COGS beyond child meal plan</w:t>
            </w:r>
          </w:p>
        </w:tc>
        <w:tc>
          <w:tcPr>
            <w:tcW w:type="dxa" w:w="2628"/>
            <w:vAlign w:val="center"/>
          </w:tcPr>
          <w:p>
            <w:r>
              <w:rPr>
                <w:sz w:val="14"/>
              </w:rPr>
              <w:t>0.65</w:t>
            </w:r>
          </w:p>
        </w:tc>
        <w:tc>
          <w:tcPr>
            <w:tcW w:type="dxa" w:w="2628"/>
            <w:vAlign w:val="center"/>
          </w:tcPr>
          <w:p>
            <w:r>
              <w:rPr>
                <w:sz w:val="14"/>
              </w:rPr>
              <w:t>Assumption</w:t>
            </w:r>
          </w:p>
        </w:tc>
        <w:tc>
          <w:tcPr>
            <w:tcW w:type="dxa" w:w="2628"/>
            <w:vAlign w:val="center"/>
          </w:tcPr>
          <w:p>
            <w:r>
              <w:rPr>
                <w:sz w:val="14"/>
              </w:rPr>
              <w:t>Food/beverage</w:t>
            </w:r>
          </w:p>
        </w:tc>
      </w:tr>
      <w:tr>
        <w:tc>
          <w:tcPr>
            <w:tcW w:type="dxa" w:w="2628"/>
            <w:vAlign w:val="center"/>
          </w:tcPr>
          <w:p>
            <w:r>
              <w:rPr>
                <w:sz w:val="14"/>
              </w:rPr>
              <w:t>Healthcare consumables / professional share</w:t>
            </w:r>
          </w:p>
        </w:tc>
        <w:tc>
          <w:tcPr>
            <w:tcW w:type="dxa" w:w="2628"/>
            <w:vAlign w:val="center"/>
          </w:tcPr>
          <w:p>
            <w:r>
              <w:rPr>
                <w:sz w:val="14"/>
              </w:rPr>
              <w:t>0.45</w:t>
            </w:r>
          </w:p>
        </w:tc>
        <w:tc>
          <w:tcPr>
            <w:tcW w:type="dxa" w:w="2628"/>
            <w:vAlign w:val="center"/>
          </w:tcPr>
          <w:p>
            <w:r>
              <w:rPr>
                <w:sz w:val="14"/>
              </w:rPr>
              <w:t>Assumption</w:t>
            </w:r>
          </w:p>
        </w:tc>
        <w:tc>
          <w:tcPr>
            <w:tcW w:type="dxa" w:w="2628"/>
            <w:vAlign w:val="center"/>
          </w:tcPr>
          <w:p>
            <w:r>
              <w:rPr>
                <w:sz w:val="14"/>
              </w:rPr>
              <w:t>Partner model</w:t>
            </w:r>
          </w:p>
        </w:tc>
      </w:tr>
      <w:tr>
        <w:tc>
          <w:tcPr>
            <w:tcW w:type="dxa" w:w="2628"/>
            <w:vAlign w:val="center"/>
          </w:tcPr>
          <w:p>
            <w:r>
              <w:rPr>
                <w:sz w:val="14"/>
              </w:rPr>
              <w:t>Corporate / NGO programme delivery</w:t>
            </w:r>
          </w:p>
        </w:tc>
        <w:tc>
          <w:tcPr>
            <w:tcW w:type="dxa" w:w="2628"/>
            <w:vAlign w:val="center"/>
          </w:tcPr>
          <w:p>
            <w:r>
              <w:rPr>
                <w:sz w:val="14"/>
              </w:rPr>
              <w:t>0.45</w:t>
            </w:r>
          </w:p>
        </w:tc>
        <w:tc>
          <w:tcPr>
            <w:tcW w:type="dxa" w:w="2628"/>
            <w:vAlign w:val="center"/>
          </w:tcPr>
          <w:p>
            <w:r>
              <w:rPr>
                <w:sz w:val="14"/>
              </w:rPr>
              <w:t>Assumption</w:t>
            </w:r>
          </w:p>
        </w:tc>
        <w:tc>
          <w:tcPr>
            <w:tcW w:type="dxa" w:w="2628"/>
            <w:vAlign w:val="center"/>
          </w:tcPr>
          <w:p>
            <w:r>
              <w:rPr>
                <w:sz w:val="14"/>
              </w:rPr>
              <w:t>B2B</w:t>
            </w:r>
          </w:p>
        </w:tc>
      </w:tr>
      <w:tr>
        <w:tc>
          <w:tcPr>
            <w:tcW w:type="dxa" w:w="2628"/>
            <w:vAlign w:val="center"/>
          </w:tcPr>
          <w:p>
            <w:r>
              <w:rPr>
                <w:sz w:val="14"/>
              </w:rPr>
              <w:t>Tournament / event delivery</w:t>
            </w:r>
          </w:p>
        </w:tc>
        <w:tc>
          <w:tcPr>
            <w:tcW w:type="dxa" w:w="2628"/>
            <w:vAlign w:val="center"/>
          </w:tcPr>
          <w:p>
            <w:r>
              <w:rPr>
                <w:sz w:val="14"/>
              </w:rPr>
              <w:t>0.5</w:t>
            </w:r>
          </w:p>
        </w:tc>
        <w:tc>
          <w:tcPr>
            <w:tcW w:type="dxa" w:w="2628"/>
            <w:vAlign w:val="center"/>
          </w:tcPr>
          <w:p>
            <w:r>
              <w:rPr>
                <w:sz w:val="14"/>
              </w:rPr>
              <w:t>Assumption</w:t>
            </w:r>
          </w:p>
        </w:tc>
        <w:tc>
          <w:tcPr>
            <w:tcW w:type="dxa" w:w="2628"/>
            <w:vAlign w:val="center"/>
          </w:tcPr>
          <w:p>
            <w:r>
              <w:rPr>
                <w:sz w:val="14"/>
              </w:rPr>
              <w:t>Events</w:t>
            </w:r>
          </w:p>
        </w:tc>
      </w:tr>
    </w:tbl>
    <w:p>
      <w:r>
        <w:br w:type="page"/>
      </w:r>
    </w:p>
    <w:p>
      <w:pPr>
        <w:pStyle w:val="Heading1"/>
      </w:pPr>
      <w:r>
        <w:t>38. Overhead Costs</w:t>
      </w:r>
    </w:p>
    <w:p>
      <w:pPr>
        <w:spacing w:after="100"/>
      </w:pPr>
      <w:r>
        <w:t>Overheads are costs required to run the institution regardless of individual sport volumes. They include marketing, IT, insurance, legal/audit, security systems, housekeeping supplies and administrative contingency.</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2628"/>
            <w:shd w:fill="18304A"/>
          </w:tcPr>
          <w:p>
            <w:r>
              <w:rPr>
                <w:b/>
                <w:color w:val="FFFFFF"/>
                <w:sz w:val="14"/>
              </w:rPr>
              <w:t>Item</w:t>
            </w:r>
          </w:p>
        </w:tc>
        <w:tc>
          <w:tcPr>
            <w:tcW w:type="dxa" w:w="2628"/>
            <w:shd w:fill="18304A"/>
          </w:tcPr>
          <w:p>
            <w:r>
              <w:rPr>
                <w:b/>
                <w:color w:val="FFFFFF"/>
                <w:sz w:val="14"/>
              </w:rPr>
              <w:t>Annual Rs. Cr</w:t>
            </w:r>
          </w:p>
        </w:tc>
        <w:tc>
          <w:tcPr>
            <w:tcW w:type="dxa" w:w="2628"/>
            <w:shd w:fill="18304A"/>
          </w:tcPr>
          <w:p>
            <w:r>
              <w:rPr>
                <w:b/>
                <w:color w:val="FFFFFF"/>
                <w:sz w:val="14"/>
              </w:rPr>
              <w:t>Basis</w:t>
            </w:r>
          </w:p>
        </w:tc>
        <w:tc>
          <w:tcPr>
            <w:tcW w:type="dxa" w:w="2628"/>
            <w:shd w:fill="18304A"/>
          </w:tcPr>
          <w:p>
            <w:r>
              <w:rPr>
                <w:b/>
                <w:color w:val="FFFFFF"/>
                <w:sz w:val="14"/>
              </w:rPr>
              <w:t>Note</w:t>
            </w:r>
          </w:p>
        </w:tc>
      </w:tr>
      <w:tr>
        <w:tc>
          <w:tcPr>
            <w:tcW w:type="dxa" w:w="2628"/>
            <w:vAlign w:val="center"/>
          </w:tcPr>
          <w:p>
            <w:r>
              <w:rPr>
                <w:sz w:val="14"/>
              </w:rPr>
              <w:t>Marketing and admissions</w:t>
            </w:r>
          </w:p>
        </w:tc>
        <w:tc>
          <w:tcPr>
            <w:tcW w:type="dxa" w:w="2628"/>
            <w:vAlign w:val="center"/>
          </w:tcPr>
          <w:p>
            <w:r>
              <w:rPr>
                <w:sz w:val="14"/>
              </w:rPr>
              <w:t>1.0</w:t>
            </w:r>
          </w:p>
        </w:tc>
        <w:tc>
          <w:tcPr>
            <w:tcW w:type="dxa" w:w="2628"/>
            <w:vAlign w:val="center"/>
          </w:tcPr>
          <w:p>
            <w:r>
              <w:rPr>
                <w:sz w:val="14"/>
              </w:rPr>
              <w:t>Assumption</w:t>
            </w:r>
          </w:p>
        </w:tc>
        <w:tc>
          <w:tcPr>
            <w:tcW w:type="dxa" w:w="2628"/>
            <w:vAlign w:val="center"/>
          </w:tcPr>
          <w:p>
            <w:r>
              <w:rPr>
                <w:sz w:val="14"/>
              </w:rPr>
              <w:t>Acquisition</w:t>
            </w:r>
          </w:p>
        </w:tc>
      </w:tr>
      <w:tr>
        <w:tc>
          <w:tcPr>
            <w:tcW w:type="dxa" w:w="2628"/>
            <w:vAlign w:val="center"/>
          </w:tcPr>
          <w:p>
            <w:r>
              <w:rPr>
                <w:sz w:val="14"/>
              </w:rPr>
              <w:t>IT software / CRM / booking / cybersecurity</w:t>
            </w:r>
          </w:p>
        </w:tc>
        <w:tc>
          <w:tcPr>
            <w:tcW w:type="dxa" w:w="2628"/>
            <w:vAlign w:val="center"/>
          </w:tcPr>
          <w:p>
            <w:r>
              <w:rPr>
                <w:sz w:val="14"/>
              </w:rPr>
              <w:t>0.4</w:t>
            </w:r>
          </w:p>
        </w:tc>
        <w:tc>
          <w:tcPr>
            <w:tcW w:type="dxa" w:w="2628"/>
            <w:vAlign w:val="center"/>
          </w:tcPr>
          <w:p>
            <w:r>
              <w:rPr>
                <w:sz w:val="14"/>
              </w:rPr>
              <w:t>Assumption</w:t>
            </w:r>
          </w:p>
        </w:tc>
        <w:tc>
          <w:tcPr>
            <w:tcW w:type="dxa" w:w="2628"/>
            <w:vAlign w:val="center"/>
          </w:tcPr>
          <w:p>
            <w:r>
              <w:rPr>
                <w:sz w:val="14"/>
              </w:rPr>
              <w:t>SaaS/AMC</w:t>
            </w:r>
          </w:p>
        </w:tc>
      </w:tr>
      <w:tr>
        <w:tc>
          <w:tcPr>
            <w:tcW w:type="dxa" w:w="2628"/>
            <w:vAlign w:val="center"/>
          </w:tcPr>
          <w:p>
            <w:r>
              <w:rPr>
                <w:sz w:val="14"/>
              </w:rPr>
              <w:t>Insurance - property/liability/accident</w:t>
            </w:r>
          </w:p>
        </w:tc>
        <w:tc>
          <w:tcPr>
            <w:tcW w:type="dxa" w:w="2628"/>
            <w:vAlign w:val="center"/>
          </w:tcPr>
          <w:p>
            <w:r>
              <w:rPr>
                <w:sz w:val="14"/>
              </w:rPr>
              <w:t>0.45</w:t>
            </w:r>
          </w:p>
        </w:tc>
        <w:tc>
          <w:tcPr>
            <w:tcW w:type="dxa" w:w="2628"/>
            <w:vAlign w:val="center"/>
          </w:tcPr>
          <w:p>
            <w:r>
              <w:rPr>
                <w:sz w:val="14"/>
              </w:rPr>
              <w:t>Assumption</w:t>
            </w:r>
          </w:p>
        </w:tc>
        <w:tc>
          <w:tcPr>
            <w:tcW w:type="dxa" w:w="2628"/>
            <w:vAlign w:val="center"/>
          </w:tcPr>
          <w:p>
            <w:r>
              <w:rPr>
                <w:sz w:val="14"/>
              </w:rPr>
              <w:t>Quotes required</w:t>
            </w:r>
          </w:p>
        </w:tc>
      </w:tr>
      <w:tr>
        <w:tc>
          <w:tcPr>
            <w:tcW w:type="dxa" w:w="2628"/>
            <w:vAlign w:val="center"/>
          </w:tcPr>
          <w:p>
            <w:r>
              <w:rPr>
                <w:sz w:val="14"/>
              </w:rPr>
              <w:t>Legal / audit / compliance / licences</w:t>
            </w:r>
          </w:p>
        </w:tc>
        <w:tc>
          <w:tcPr>
            <w:tcW w:type="dxa" w:w="2628"/>
            <w:vAlign w:val="center"/>
          </w:tcPr>
          <w:p>
            <w:r>
              <w:rPr>
                <w:sz w:val="14"/>
              </w:rPr>
              <w:t>0.35</w:t>
            </w:r>
          </w:p>
        </w:tc>
        <w:tc>
          <w:tcPr>
            <w:tcW w:type="dxa" w:w="2628"/>
            <w:vAlign w:val="center"/>
          </w:tcPr>
          <w:p>
            <w:r>
              <w:rPr>
                <w:sz w:val="14"/>
              </w:rPr>
              <w:t>Assumption</w:t>
            </w:r>
          </w:p>
        </w:tc>
        <w:tc>
          <w:tcPr>
            <w:tcW w:type="dxa" w:w="2628"/>
            <w:vAlign w:val="center"/>
          </w:tcPr>
          <w:p>
            <w:r>
              <w:rPr>
                <w:sz w:val="14"/>
              </w:rPr>
              <w:t>Professional fees</w:t>
            </w:r>
          </w:p>
        </w:tc>
      </w:tr>
      <w:tr>
        <w:tc>
          <w:tcPr>
            <w:tcW w:type="dxa" w:w="2628"/>
            <w:vAlign w:val="center"/>
          </w:tcPr>
          <w:p>
            <w:r>
              <w:rPr>
                <w:sz w:val="14"/>
              </w:rPr>
              <w:t>Security systems AMC / access control / CCTV</w:t>
            </w:r>
          </w:p>
        </w:tc>
        <w:tc>
          <w:tcPr>
            <w:tcW w:type="dxa" w:w="2628"/>
            <w:vAlign w:val="center"/>
          </w:tcPr>
          <w:p>
            <w:r>
              <w:rPr>
                <w:sz w:val="14"/>
              </w:rPr>
              <w:t>0.3</w:t>
            </w:r>
          </w:p>
        </w:tc>
        <w:tc>
          <w:tcPr>
            <w:tcW w:type="dxa" w:w="2628"/>
            <w:vAlign w:val="center"/>
          </w:tcPr>
          <w:p>
            <w:r>
              <w:rPr>
                <w:sz w:val="14"/>
              </w:rPr>
              <w:t>S17/Assumption</w:t>
            </w:r>
          </w:p>
        </w:tc>
        <w:tc>
          <w:tcPr>
            <w:tcW w:type="dxa" w:w="2628"/>
            <w:vAlign w:val="center"/>
          </w:tcPr>
          <w:p>
            <w:r>
              <w:rPr>
                <w:sz w:val="14"/>
              </w:rPr>
              <w:t>Excl. payroll</w:t>
            </w:r>
          </w:p>
        </w:tc>
      </w:tr>
      <w:tr>
        <w:tc>
          <w:tcPr>
            <w:tcW w:type="dxa" w:w="2628"/>
            <w:vAlign w:val="center"/>
          </w:tcPr>
          <w:p>
            <w:r>
              <w:rPr>
                <w:sz w:val="14"/>
              </w:rPr>
              <w:t>Housekeeping supplies / pest / waste / laundry</w:t>
            </w:r>
          </w:p>
        </w:tc>
        <w:tc>
          <w:tcPr>
            <w:tcW w:type="dxa" w:w="2628"/>
            <w:vAlign w:val="center"/>
          </w:tcPr>
          <w:p>
            <w:r>
              <w:rPr>
                <w:sz w:val="14"/>
              </w:rPr>
              <w:t>0.4</w:t>
            </w:r>
          </w:p>
        </w:tc>
        <w:tc>
          <w:tcPr>
            <w:tcW w:type="dxa" w:w="2628"/>
            <w:vAlign w:val="center"/>
          </w:tcPr>
          <w:p>
            <w:r>
              <w:rPr>
                <w:sz w:val="14"/>
              </w:rPr>
              <w:t>Assumption</w:t>
            </w:r>
          </w:p>
        </w:tc>
        <w:tc>
          <w:tcPr>
            <w:tcW w:type="dxa" w:w="2628"/>
            <w:vAlign w:val="center"/>
          </w:tcPr>
          <w:p>
            <w:r>
              <w:rPr>
                <w:sz w:val="14"/>
              </w:rPr>
              <w:t>Consumables</w:t>
            </w:r>
          </w:p>
        </w:tc>
      </w:tr>
      <w:tr>
        <w:tc>
          <w:tcPr>
            <w:tcW w:type="dxa" w:w="2628"/>
            <w:vAlign w:val="center"/>
          </w:tcPr>
          <w:p>
            <w:r>
              <w:rPr>
                <w:sz w:val="14"/>
              </w:rPr>
              <w:t>Property / municipal charges</w:t>
            </w:r>
          </w:p>
        </w:tc>
        <w:tc>
          <w:tcPr>
            <w:tcW w:type="dxa" w:w="2628"/>
            <w:vAlign w:val="center"/>
          </w:tcPr>
          <w:p>
            <w:r>
              <w:rPr>
                <w:sz w:val="14"/>
              </w:rPr>
              <w:t>0.4</w:t>
            </w:r>
          </w:p>
        </w:tc>
        <w:tc>
          <w:tcPr>
            <w:tcW w:type="dxa" w:w="2628"/>
            <w:vAlign w:val="center"/>
          </w:tcPr>
          <w:p>
            <w:r>
              <w:rPr>
                <w:sz w:val="14"/>
              </w:rPr>
              <w:t>Assumption</w:t>
            </w:r>
          </w:p>
        </w:tc>
        <w:tc>
          <w:tcPr>
            <w:tcW w:type="dxa" w:w="2628"/>
            <w:vAlign w:val="center"/>
          </w:tcPr>
          <w:p>
            <w:r>
              <w:rPr>
                <w:sz w:val="14"/>
              </w:rPr>
              <w:t>Verify</w:t>
            </w:r>
          </w:p>
        </w:tc>
      </w:tr>
      <w:tr>
        <w:tc>
          <w:tcPr>
            <w:tcW w:type="dxa" w:w="2628"/>
            <w:vAlign w:val="center"/>
          </w:tcPr>
          <w:p>
            <w:r>
              <w:rPr>
                <w:sz w:val="14"/>
              </w:rPr>
              <w:t>Corporate office / travel / training</w:t>
            </w:r>
          </w:p>
        </w:tc>
        <w:tc>
          <w:tcPr>
            <w:tcW w:type="dxa" w:w="2628"/>
            <w:vAlign w:val="center"/>
          </w:tcPr>
          <w:p>
            <w:r>
              <w:rPr>
                <w:sz w:val="14"/>
              </w:rPr>
              <w:t>0.35</w:t>
            </w:r>
          </w:p>
        </w:tc>
        <w:tc>
          <w:tcPr>
            <w:tcW w:type="dxa" w:w="2628"/>
            <w:vAlign w:val="center"/>
          </w:tcPr>
          <w:p>
            <w:r>
              <w:rPr>
                <w:sz w:val="14"/>
              </w:rPr>
              <w:t>Assumption</w:t>
            </w:r>
          </w:p>
        </w:tc>
        <w:tc>
          <w:tcPr>
            <w:tcW w:type="dxa" w:w="2628"/>
            <w:vAlign w:val="center"/>
          </w:tcPr>
          <w:p>
            <w:r>
              <w:rPr>
                <w:sz w:val="14"/>
              </w:rPr>
              <w:t>Management</w:t>
            </w:r>
          </w:p>
        </w:tc>
      </w:tr>
      <w:tr>
        <w:tc>
          <w:tcPr>
            <w:tcW w:type="dxa" w:w="2628"/>
            <w:vAlign w:val="center"/>
          </w:tcPr>
          <w:p>
            <w:r>
              <w:rPr>
                <w:sz w:val="14"/>
              </w:rPr>
              <w:t>Contingency reserve</w:t>
            </w:r>
          </w:p>
        </w:tc>
        <w:tc>
          <w:tcPr>
            <w:tcW w:type="dxa" w:w="2628"/>
            <w:vAlign w:val="center"/>
          </w:tcPr>
          <w:p>
            <w:r>
              <w:rPr>
                <w:sz w:val="14"/>
              </w:rPr>
              <w:t>0.8</w:t>
            </w:r>
          </w:p>
        </w:tc>
        <w:tc>
          <w:tcPr>
            <w:tcW w:type="dxa" w:w="2628"/>
            <w:vAlign w:val="center"/>
          </w:tcPr>
          <w:p>
            <w:r>
              <w:rPr>
                <w:sz w:val="14"/>
              </w:rPr>
              <w:t>Assumption</w:t>
            </w:r>
          </w:p>
        </w:tc>
        <w:tc>
          <w:tcPr>
            <w:tcW w:type="dxa" w:w="2628"/>
            <w:vAlign w:val="center"/>
          </w:tcPr>
          <w:p>
            <w:r>
              <w:rPr>
                <w:sz w:val="14"/>
              </w:rPr>
              <w:t>Reserve</w:t>
            </w:r>
          </w:p>
        </w:tc>
      </w:tr>
    </w:tbl>
    <w:p>
      <w:r>
        <w:br w:type="page"/>
      </w:r>
    </w:p>
    <w:p>
      <w:pPr>
        <w:pStyle w:val="Heading1"/>
      </w:pPr>
      <w:r>
        <w:t>39. Non-Sport Revenue Engines</w:t>
      </w:r>
    </w:p>
    <w:p>
      <w:pPr>
        <w:spacing w:after="100"/>
      </w:pPr>
      <w:r>
        <w:t>The table shows a mature illustrative operating case. All prices and volumes remain editable in the Excel model.</w:t>
      </w:r>
    </w:p>
    <w:tbl>
      <w:tblPr>
        <w:tblStyle w:val="TableGrid"/>
        <w:tblW w:type="auto" w:w="0"/>
        <w:jc w:val="center"/>
        <w:tblLook w:firstColumn="1" w:firstRow="1" w:lastColumn="0" w:lastRow="0" w:noHBand="0" w:noVBand="1" w:val="04A0"/>
      </w:tblPr>
      <w:tblGrid>
        <w:gridCol w:w="1502"/>
        <w:gridCol w:w="1502"/>
        <w:gridCol w:w="1502"/>
        <w:gridCol w:w="1502"/>
        <w:gridCol w:w="1502"/>
        <w:gridCol w:w="1502"/>
        <w:gridCol w:w="1502"/>
      </w:tblGrid>
      <w:tr>
        <w:tc>
          <w:tcPr>
            <w:tcW w:type="dxa" w:w="1502"/>
            <w:shd w:fill="18304A"/>
          </w:tcPr>
          <w:p>
            <w:r>
              <w:rPr>
                <w:b/>
                <w:color w:val="FFFFFF"/>
                <w:sz w:val="14"/>
              </w:rPr>
              <w:t>Programme</w:t>
            </w:r>
          </w:p>
        </w:tc>
        <w:tc>
          <w:tcPr>
            <w:tcW w:type="dxa" w:w="1502"/>
            <w:shd w:fill="18304A"/>
          </w:tcPr>
          <w:p>
            <w:r>
              <w:rPr>
                <w:b/>
                <w:color w:val="FFFFFF"/>
                <w:sz w:val="14"/>
              </w:rPr>
              <w:t>Customer</w:t>
            </w:r>
          </w:p>
        </w:tc>
        <w:tc>
          <w:tcPr>
            <w:tcW w:type="dxa" w:w="1502"/>
            <w:shd w:fill="18304A"/>
          </w:tcPr>
          <w:p>
            <w:r>
              <w:rPr>
                <w:b/>
                <w:color w:val="FFFFFF"/>
                <w:sz w:val="14"/>
              </w:rPr>
              <w:t>Unit price</w:t>
            </w:r>
          </w:p>
        </w:tc>
        <w:tc>
          <w:tcPr>
            <w:tcW w:type="dxa" w:w="1502"/>
            <w:shd w:fill="18304A"/>
          </w:tcPr>
          <w:p>
            <w:r>
              <w:rPr>
                <w:b/>
                <w:color w:val="FFFFFF"/>
                <w:sz w:val="14"/>
              </w:rPr>
              <w:t>Units</w:t>
            </w:r>
          </w:p>
        </w:tc>
        <w:tc>
          <w:tcPr>
            <w:tcW w:type="dxa" w:w="1502"/>
            <w:shd w:fill="18304A"/>
          </w:tcPr>
          <w:p>
            <w:r>
              <w:rPr>
                <w:b/>
                <w:color w:val="FFFFFF"/>
                <w:sz w:val="14"/>
              </w:rPr>
              <w:t>Months/events</w:t>
            </w:r>
          </w:p>
        </w:tc>
        <w:tc>
          <w:tcPr>
            <w:tcW w:type="dxa" w:w="1502"/>
            <w:shd w:fill="18304A"/>
          </w:tcPr>
          <w:p>
            <w:r>
              <w:rPr>
                <w:b/>
                <w:color w:val="FFFFFF"/>
                <w:sz w:val="14"/>
              </w:rPr>
              <w:t>Occupancy/share</w:t>
            </w:r>
          </w:p>
        </w:tc>
        <w:tc>
          <w:tcPr>
            <w:tcW w:type="dxa" w:w="1502"/>
            <w:shd w:fill="18304A"/>
          </w:tcPr>
          <w:p>
            <w:r>
              <w:rPr>
                <w:b/>
                <w:color w:val="FFFFFF"/>
                <w:sz w:val="14"/>
              </w:rPr>
              <w:t>Revenue Rs. Cr</w:t>
            </w:r>
          </w:p>
        </w:tc>
      </w:tr>
      <w:tr>
        <w:tc>
          <w:tcPr>
            <w:tcW w:type="dxa" w:w="1502"/>
            <w:vAlign w:val="center"/>
          </w:tcPr>
          <w:p>
            <w:r>
              <w:rPr>
                <w:sz w:val="14"/>
              </w:rPr>
              <w:t>Academics - core tutoring</w:t>
            </w:r>
          </w:p>
        </w:tc>
        <w:tc>
          <w:tcPr>
            <w:tcW w:type="dxa" w:w="1502"/>
            <w:vAlign w:val="center"/>
          </w:tcPr>
          <w:p>
            <w:r>
              <w:rPr>
                <w:sz w:val="14"/>
              </w:rPr>
              <w:t>Ages 7-18</w:t>
            </w:r>
          </w:p>
        </w:tc>
        <w:tc>
          <w:tcPr>
            <w:tcW w:type="dxa" w:w="1502"/>
            <w:vAlign w:val="center"/>
          </w:tcPr>
          <w:p>
            <w:r>
              <w:rPr>
                <w:sz w:val="14"/>
              </w:rPr>
              <w:t>Rs.4,500</w:t>
            </w:r>
          </w:p>
        </w:tc>
        <w:tc>
          <w:tcPr>
            <w:tcW w:type="dxa" w:w="1502"/>
            <w:vAlign w:val="center"/>
          </w:tcPr>
          <w:p>
            <w:r>
              <w:rPr>
                <w:sz w:val="14"/>
              </w:rPr>
              <w:t>600</w:t>
            </w:r>
          </w:p>
        </w:tc>
        <w:tc>
          <w:tcPr>
            <w:tcW w:type="dxa" w:w="1502"/>
            <w:vAlign w:val="center"/>
          </w:tcPr>
          <w:p>
            <w:r>
              <w:rPr>
                <w:sz w:val="14"/>
              </w:rPr>
              <w:t>10</w:t>
            </w:r>
          </w:p>
        </w:tc>
        <w:tc>
          <w:tcPr>
            <w:tcW w:type="dxa" w:w="1502"/>
            <w:vAlign w:val="center"/>
          </w:tcPr>
          <w:p>
            <w:r>
              <w:rPr>
                <w:sz w:val="14"/>
              </w:rPr>
              <w:t>100%</w:t>
            </w:r>
          </w:p>
        </w:tc>
        <w:tc>
          <w:tcPr>
            <w:tcW w:type="dxa" w:w="1502"/>
            <w:vAlign w:val="center"/>
          </w:tcPr>
          <w:p>
            <w:r>
              <w:rPr>
                <w:sz w:val="14"/>
              </w:rPr>
              <w:t>2.70</w:t>
            </w:r>
          </w:p>
        </w:tc>
      </w:tr>
      <w:tr>
        <w:tc>
          <w:tcPr>
            <w:tcW w:type="dxa" w:w="1502"/>
            <w:vAlign w:val="center"/>
          </w:tcPr>
          <w:p>
            <w:r>
              <w:rPr>
                <w:sz w:val="14"/>
              </w:rPr>
              <w:t>STEM / Olympiad / enrichment</w:t>
            </w:r>
          </w:p>
        </w:tc>
        <w:tc>
          <w:tcPr>
            <w:tcW w:type="dxa" w:w="1502"/>
            <w:vAlign w:val="center"/>
          </w:tcPr>
          <w:p>
            <w:r>
              <w:rPr>
                <w:sz w:val="14"/>
              </w:rPr>
              <w:t>Ages 7-18</w:t>
            </w:r>
          </w:p>
        </w:tc>
        <w:tc>
          <w:tcPr>
            <w:tcW w:type="dxa" w:w="1502"/>
            <w:vAlign w:val="center"/>
          </w:tcPr>
          <w:p>
            <w:r>
              <w:rPr>
                <w:sz w:val="14"/>
              </w:rPr>
              <w:t>Rs.4,500</w:t>
            </w:r>
          </w:p>
        </w:tc>
        <w:tc>
          <w:tcPr>
            <w:tcW w:type="dxa" w:w="1502"/>
            <w:vAlign w:val="center"/>
          </w:tcPr>
          <w:p>
            <w:r>
              <w:rPr>
                <w:sz w:val="14"/>
              </w:rPr>
              <w:t>250</w:t>
            </w:r>
          </w:p>
        </w:tc>
        <w:tc>
          <w:tcPr>
            <w:tcW w:type="dxa" w:w="1502"/>
            <w:vAlign w:val="center"/>
          </w:tcPr>
          <w:p>
            <w:r>
              <w:rPr>
                <w:sz w:val="14"/>
              </w:rPr>
              <w:t>8</w:t>
            </w:r>
          </w:p>
        </w:tc>
        <w:tc>
          <w:tcPr>
            <w:tcW w:type="dxa" w:w="1502"/>
            <w:vAlign w:val="center"/>
          </w:tcPr>
          <w:p>
            <w:r>
              <w:rPr>
                <w:sz w:val="14"/>
              </w:rPr>
              <w:t>100%</w:t>
            </w:r>
          </w:p>
        </w:tc>
        <w:tc>
          <w:tcPr>
            <w:tcW w:type="dxa" w:w="1502"/>
            <w:vAlign w:val="center"/>
          </w:tcPr>
          <w:p>
            <w:r>
              <w:rPr>
                <w:sz w:val="14"/>
              </w:rPr>
              <w:t>0.90</w:t>
            </w:r>
          </w:p>
        </w:tc>
      </w:tr>
      <w:tr>
        <w:tc>
          <w:tcPr>
            <w:tcW w:type="dxa" w:w="1502"/>
            <w:vAlign w:val="center"/>
          </w:tcPr>
          <w:p>
            <w:r>
              <w:rPr>
                <w:sz w:val="14"/>
              </w:rPr>
              <w:t>After-school standard</w:t>
            </w:r>
          </w:p>
        </w:tc>
        <w:tc>
          <w:tcPr>
            <w:tcW w:type="dxa" w:w="1502"/>
            <w:vAlign w:val="center"/>
          </w:tcPr>
          <w:p>
            <w:r>
              <w:rPr>
                <w:sz w:val="14"/>
              </w:rPr>
              <w:t>Ages 4-15</w:t>
            </w:r>
          </w:p>
        </w:tc>
        <w:tc>
          <w:tcPr>
            <w:tcW w:type="dxa" w:w="1502"/>
            <w:vAlign w:val="center"/>
          </w:tcPr>
          <w:p>
            <w:r>
              <w:rPr>
                <w:sz w:val="14"/>
              </w:rPr>
              <w:t>Rs.12,000</w:t>
            </w:r>
          </w:p>
        </w:tc>
        <w:tc>
          <w:tcPr>
            <w:tcW w:type="dxa" w:w="1502"/>
            <w:vAlign w:val="center"/>
          </w:tcPr>
          <w:p>
            <w:r>
              <w:rPr>
                <w:sz w:val="14"/>
              </w:rPr>
              <w:t>500</w:t>
            </w:r>
          </w:p>
        </w:tc>
        <w:tc>
          <w:tcPr>
            <w:tcW w:type="dxa" w:w="1502"/>
            <w:vAlign w:val="center"/>
          </w:tcPr>
          <w:p>
            <w:r>
              <w:rPr>
                <w:sz w:val="14"/>
              </w:rPr>
              <w:t>10</w:t>
            </w:r>
          </w:p>
        </w:tc>
        <w:tc>
          <w:tcPr>
            <w:tcW w:type="dxa" w:w="1502"/>
            <w:vAlign w:val="center"/>
          </w:tcPr>
          <w:p>
            <w:r>
              <w:rPr>
                <w:sz w:val="14"/>
              </w:rPr>
              <w:t>100%</w:t>
            </w:r>
          </w:p>
        </w:tc>
        <w:tc>
          <w:tcPr>
            <w:tcW w:type="dxa" w:w="1502"/>
            <w:vAlign w:val="center"/>
          </w:tcPr>
          <w:p>
            <w:r>
              <w:rPr>
                <w:sz w:val="14"/>
              </w:rPr>
              <w:t>6.00</w:t>
            </w:r>
          </w:p>
        </w:tc>
      </w:tr>
      <w:tr>
        <w:tc>
          <w:tcPr>
            <w:tcW w:type="dxa" w:w="1502"/>
            <w:vAlign w:val="center"/>
          </w:tcPr>
          <w:p>
            <w:r>
              <w:rPr>
                <w:sz w:val="14"/>
              </w:rPr>
              <w:t>After-school extended</w:t>
            </w:r>
          </w:p>
        </w:tc>
        <w:tc>
          <w:tcPr>
            <w:tcW w:type="dxa" w:w="1502"/>
            <w:vAlign w:val="center"/>
          </w:tcPr>
          <w:p>
            <w:r>
              <w:rPr>
                <w:sz w:val="14"/>
              </w:rPr>
              <w:t>Ages 4-15</w:t>
            </w:r>
          </w:p>
        </w:tc>
        <w:tc>
          <w:tcPr>
            <w:tcW w:type="dxa" w:w="1502"/>
            <w:vAlign w:val="center"/>
          </w:tcPr>
          <w:p>
            <w:r>
              <w:rPr>
                <w:sz w:val="14"/>
              </w:rPr>
              <w:t>Rs.18,000</w:t>
            </w:r>
          </w:p>
        </w:tc>
        <w:tc>
          <w:tcPr>
            <w:tcW w:type="dxa" w:w="1502"/>
            <w:vAlign w:val="center"/>
          </w:tcPr>
          <w:p>
            <w:r>
              <w:rPr>
                <w:sz w:val="14"/>
              </w:rPr>
              <w:t>200</w:t>
            </w:r>
          </w:p>
        </w:tc>
        <w:tc>
          <w:tcPr>
            <w:tcW w:type="dxa" w:w="1502"/>
            <w:vAlign w:val="center"/>
          </w:tcPr>
          <w:p>
            <w:r>
              <w:rPr>
                <w:sz w:val="14"/>
              </w:rPr>
              <w:t>10</w:t>
            </w:r>
          </w:p>
        </w:tc>
        <w:tc>
          <w:tcPr>
            <w:tcW w:type="dxa" w:w="1502"/>
            <w:vAlign w:val="center"/>
          </w:tcPr>
          <w:p>
            <w:r>
              <w:rPr>
                <w:sz w:val="14"/>
              </w:rPr>
              <w:t>100%</w:t>
            </w:r>
          </w:p>
        </w:tc>
        <w:tc>
          <w:tcPr>
            <w:tcW w:type="dxa" w:w="1502"/>
            <w:vAlign w:val="center"/>
          </w:tcPr>
          <w:p>
            <w:r>
              <w:rPr>
                <w:sz w:val="14"/>
              </w:rPr>
              <w:t>3.60</w:t>
            </w:r>
          </w:p>
        </w:tc>
      </w:tr>
      <w:tr>
        <w:tc>
          <w:tcPr>
            <w:tcW w:type="dxa" w:w="1502"/>
            <w:vAlign w:val="center"/>
          </w:tcPr>
          <w:p>
            <w:r>
              <w:rPr>
                <w:sz w:val="14"/>
              </w:rPr>
              <w:t>Residential children</w:t>
            </w:r>
          </w:p>
        </w:tc>
        <w:tc>
          <w:tcPr>
            <w:tcW w:type="dxa" w:w="1502"/>
            <w:vAlign w:val="center"/>
          </w:tcPr>
          <w:p>
            <w:r>
              <w:rPr>
                <w:sz w:val="14"/>
              </w:rPr>
              <w:t>Recommended 7+ in base case</w:t>
            </w:r>
          </w:p>
        </w:tc>
        <w:tc>
          <w:tcPr>
            <w:tcW w:type="dxa" w:w="1502"/>
            <w:vAlign w:val="center"/>
          </w:tcPr>
          <w:p>
            <w:r>
              <w:rPr>
                <w:sz w:val="14"/>
              </w:rPr>
              <w:t>Rs.45,000</w:t>
            </w:r>
          </w:p>
        </w:tc>
        <w:tc>
          <w:tcPr>
            <w:tcW w:type="dxa" w:w="1502"/>
            <w:vAlign w:val="center"/>
          </w:tcPr>
          <w:p>
            <w:r>
              <w:rPr>
                <w:sz w:val="14"/>
              </w:rPr>
              <w:t>60</w:t>
            </w:r>
          </w:p>
        </w:tc>
        <w:tc>
          <w:tcPr>
            <w:tcW w:type="dxa" w:w="1502"/>
            <w:vAlign w:val="center"/>
          </w:tcPr>
          <w:p>
            <w:r>
              <w:rPr>
                <w:sz w:val="14"/>
              </w:rPr>
              <w:t>12</w:t>
            </w:r>
          </w:p>
        </w:tc>
        <w:tc>
          <w:tcPr>
            <w:tcW w:type="dxa" w:w="1502"/>
            <w:vAlign w:val="center"/>
          </w:tcPr>
          <w:p>
            <w:r>
              <w:rPr>
                <w:sz w:val="14"/>
              </w:rPr>
              <w:t>75%</w:t>
            </w:r>
          </w:p>
        </w:tc>
        <w:tc>
          <w:tcPr>
            <w:tcW w:type="dxa" w:w="1502"/>
            <w:vAlign w:val="center"/>
          </w:tcPr>
          <w:p>
            <w:r>
              <w:rPr>
                <w:sz w:val="14"/>
              </w:rPr>
              <w:t>2.43</w:t>
            </w:r>
          </w:p>
        </w:tc>
      </w:tr>
      <w:tr>
        <w:tc>
          <w:tcPr>
            <w:tcW w:type="dxa" w:w="1502"/>
            <w:vAlign w:val="center"/>
          </w:tcPr>
          <w:p>
            <w:r>
              <w:rPr>
                <w:sz w:val="14"/>
              </w:rPr>
              <w:t>Grandparents day programme</w:t>
            </w:r>
          </w:p>
        </w:tc>
        <w:tc>
          <w:tcPr>
            <w:tcW w:type="dxa" w:w="1502"/>
            <w:vAlign w:val="center"/>
          </w:tcPr>
          <w:p>
            <w:r>
              <w:rPr>
                <w:sz w:val="14"/>
              </w:rPr>
              <w:t>60+</w:t>
            </w:r>
          </w:p>
        </w:tc>
        <w:tc>
          <w:tcPr>
            <w:tcW w:type="dxa" w:w="1502"/>
            <w:vAlign w:val="center"/>
          </w:tcPr>
          <w:p>
            <w:r>
              <w:rPr>
                <w:sz w:val="14"/>
              </w:rPr>
              <w:t>Rs.12,000</w:t>
            </w:r>
          </w:p>
        </w:tc>
        <w:tc>
          <w:tcPr>
            <w:tcW w:type="dxa" w:w="1502"/>
            <w:vAlign w:val="center"/>
          </w:tcPr>
          <w:p>
            <w:r>
              <w:rPr>
                <w:sz w:val="14"/>
              </w:rPr>
              <w:t>100</w:t>
            </w:r>
          </w:p>
        </w:tc>
        <w:tc>
          <w:tcPr>
            <w:tcW w:type="dxa" w:w="1502"/>
            <w:vAlign w:val="center"/>
          </w:tcPr>
          <w:p>
            <w:r>
              <w:rPr>
                <w:sz w:val="14"/>
              </w:rPr>
              <w:t>12</w:t>
            </w:r>
          </w:p>
        </w:tc>
        <w:tc>
          <w:tcPr>
            <w:tcW w:type="dxa" w:w="1502"/>
            <w:vAlign w:val="center"/>
          </w:tcPr>
          <w:p>
            <w:r>
              <w:rPr>
                <w:sz w:val="14"/>
              </w:rPr>
              <w:t>100%</w:t>
            </w:r>
          </w:p>
        </w:tc>
        <w:tc>
          <w:tcPr>
            <w:tcW w:type="dxa" w:w="1502"/>
            <w:vAlign w:val="center"/>
          </w:tcPr>
          <w:p>
            <w:r>
              <w:rPr>
                <w:sz w:val="14"/>
              </w:rPr>
              <w:t>1.44</w:t>
            </w:r>
          </w:p>
        </w:tc>
      </w:tr>
      <w:tr>
        <w:tc>
          <w:tcPr>
            <w:tcW w:type="dxa" w:w="1502"/>
            <w:vAlign w:val="center"/>
          </w:tcPr>
          <w:p>
            <w:r>
              <w:rPr>
                <w:sz w:val="14"/>
              </w:rPr>
              <w:t>Grandparents residential</w:t>
            </w:r>
          </w:p>
        </w:tc>
        <w:tc>
          <w:tcPr>
            <w:tcW w:type="dxa" w:w="1502"/>
            <w:vAlign w:val="center"/>
          </w:tcPr>
          <w:p>
            <w:r>
              <w:rPr>
                <w:sz w:val="14"/>
              </w:rPr>
              <w:t>60+</w:t>
            </w:r>
          </w:p>
        </w:tc>
        <w:tc>
          <w:tcPr>
            <w:tcW w:type="dxa" w:w="1502"/>
            <w:vAlign w:val="center"/>
          </w:tcPr>
          <w:p>
            <w:r>
              <w:rPr>
                <w:sz w:val="14"/>
              </w:rPr>
              <w:t>Rs.45,000</w:t>
            </w:r>
          </w:p>
        </w:tc>
        <w:tc>
          <w:tcPr>
            <w:tcW w:type="dxa" w:w="1502"/>
            <w:vAlign w:val="center"/>
          </w:tcPr>
          <w:p>
            <w:r>
              <w:rPr>
                <w:sz w:val="14"/>
              </w:rPr>
              <w:t>20</w:t>
            </w:r>
          </w:p>
        </w:tc>
        <w:tc>
          <w:tcPr>
            <w:tcW w:type="dxa" w:w="1502"/>
            <w:vAlign w:val="center"/>
          </w:tcPr>
          <w:p>
            <w:r>
              <w:rPr>
                <w:sz w:val="14"/>
              </w:rPr>
              <w:t>12</w:t>
            </w:r>
          </w:p>
        </w:tc>
        <w:tc>
          <w:tcPr>
            <w:tcW w:type="dxa" w:w="1502"/>
            <w:vAlign w:val="center"/>
          </w:tcPr>
          <w:p>
            <w:r>
              <w:rPr>
                <w:sz w:val="14"/>
              </w:rPr>
              <w:t>80%</w:t>
            </w:r>
          </w:p>
        </w:tc>
        <w:tc>
          <w:tcPr>
            <w:tcW w:type="dxa" w:w="1502"/>
            <w:vAlign w:val="center"/>
          </w:tcPr>
          <w:p>
            <w:r>
              <w:rPr>
                <w:sz w:val="14"/>
              </w:rPr>
              <w:t>0.86</w:t>
            </w:r>
          </w:p>
        </w:tc>
      </w:tr>
      <w:tr>
        <w:tc>
          <w:tcPr>
            <w:tcW w:type="dxa" w:w="1502"/>
            <w:vAlign w:val="center"/>
          </w:tcPr>
          <w:p>
            <w:r>
              <w:rPr>
                <w:sz w:val="14"/>
              </w:rPr>
              <w:t>Community membership</w:t>
            </w:r>
          </w:p>
        </w:tc>
        <w:tc>
          <w:tcPr>
            <w:tcW w:type="dxa" w:w="1502"/>
            <w:vAlign w:val="center"/>
          </w:tcPr>
          <w:p>
            <w:r>
              <w:rPr>
                <w:sz w:val="14"/>
              </w:rPr>
              <w:t>Family</w:t>
            </w:r>
          </w:p>
        </w:tc>
        <w:tc>
          <w:tcPr>
            <w:tcW w:type="dxa" w:w="1502"/>
            <w:vAlign w:val="center"/>
          </w:tcPr>
          <w:p>
            <w:r>
              <w:rPr>
                <w:sz w:val="14"/>
              </w:rPr>
              <w:t>Rs.3,000</w:t>
            </w:r>
          </w:p>
        </w:tc>
        <w:tc>
          <w:tcPr>
            <w:tcW w:type="dxa" w:w="1502"/>
            <w:vAlign w:val="center"/>
          </w:tcPr>
          <w:p>
            <w:r>
              <w:rPr>
                <w:sz w:val="14"/>
              </w:rPr>
              <w:t>500</w:t>
            </w:r>
          </w:p>
        </w:tc>
        <w:tc>
          <w:tcPr>
            <w:tcW w:type="dxa" w:w="1502"/>
            <w:vAlign w:val="center"/>
          </w:tcPr>
          <w:p>
            <w:r>
              <w:rPr>
                <w:sz w:val="14"/>
              </w:rPr>
              <w:t>12</w:t>
            </w:r>
          </w:p>
        </w:tc>
        <w:tc>
          <w:tcPr>
            <w:tcW w:type="dxa" w:w="1502"/>
            <w:vAlign w:val="center"/>
          </w:tcPr>
          <w:p>
            <w:r>
              <w:rPr>
                <w:sz w:val="14"/>
              </w:rPr>
              <w:t>100%</w:t>
            </w:r>
          </w:p>
        </w:tc>
        <w:tc>
          <w:tcPr>
            <w:tcW w:type="dxa" w:w="1502"/>
            <w:vAlign w:val="center"/>
          </w:tcPr>
          <w:p>
            <w:r>
              <w:rPr>
                <w:sz w:val="14"/>
              </w:rPr>
              <w:t>1.80</w:t>
            </w:r>
          </w:p>
        </w:tc>
      </w:tr>
      <w:tr>
        <w:tc>
          <w:tcPr>
            <w:tcW w:type="dxa" w:w="1502"/>
            <w:vAlign w:val="center"/>
          </w:tcPr>
          <w:p>
            <w:r>
              <w:rPr>
                <w:sz w:val="14"/>
              </w:rPr>
              <w:t>Family Elite membership</w:t>
            </w:r>
          </w:p>
        </w:tc>
        <w:tc>
          <w:tcPr>
            <w:tcW w:type="dxa" w:w="1502"/>
            <w:vAlign w:val="center"/>
          </w:tcPr>
          <w:p>
            <w:r>
              <w:rPr>
                <w:sz w:val="14"/>
              </w:rPr>
              <w:t>Family</w:t>
            </w:r>
          </w:p>
        </w:tc>
        <w:tc>
          <w:tcPr>
            <w:tcW w:type="dxa" w:w="1502"/>
            <w:vAlign w:val="center"/>
          </w:tcPr>
          <w:p>
            <w:r>
              <w:rPr>
                <w:sz w:val="14"/>
              </w:rPr>
              <w:t>Rs.10,000</w:t>
            </w:r>
          </w:p>
        </w:tc>
        <w:tc>
          <w:tcPr>
            <w:tcW w:type="dxa" w:w="1502"/>
            <w:vAlign w:val="center"/>
          </w:tcPr>
          <w:p>
            <w:r>
              <w:rPr>
                <w:sz w:val="14"/>
              </w:rPr>
              <w:t>200</w:t>
            </w:r>
          </w:p>
        </w:tc>
        <w:tc>
          <w:tcPr>
            <w:tcW w:type="dxa" w:w="1502"/>
            <w:vAlign w:val="center"/>
          </w:tcPr>
          <w:p>
            <w:r>
              <w:rPr>
                <w:sz w:val="14"/>
              </w:rPr>
              <w:t>12</w:t>
            </w:r>
          </w:p>
        </w:tc>
        <w:tc>
          <w:tcPr>
            <w:tcW w:type="dxa" w:w="1502"/>
            <w:vAlign w:val="center"/>
          </w:tcPr>
          <w:p>
            <w:r>
              <w:rPr>
                <w:sz w:val="14"/>
              </w:rPr>
              <w:t>100%</w:t>
            </w:r>
          </w:p>
        </w:tc>
        <w:tc>
          <w:tcPr>
            <w:tcW w:type="dxa" w:w="1502"/>
            <w:vAlign w:val="center"/>
          </w:tcPr>
          <w:p>
            <w:r>
              <w:rPr>
                <w:sz w:val="14"/>
              </w:rPr>
              <w:t>2.40</w:t>
            </w:r>
          </w:p>
        </w:tc>
      </w:tr>
      <w:tr>
        <w:tc>
          <w:tcPr>
            <w:tcW w:type="dxa" w:w="1502"/>
            <w:vAlign w:val="center"/>
          </w:tcPr>
          <w:p>
            <w:r>
              <w:rPr>
                <w:sz w:val="14"/>
              </w:rPr>
              <w:t>Corporate leadership days</w:t>
            </w:r>
          </w:p>
        </w:tc>
        <w:tc>
          <w:tcPr>
            <w:tcW w:type="dxa" w:w="1502"/>
            <w:vAlign w:val="center"/>
          </w:tcPr>
          <w:p>
            <w:r>
              <w:rPr>
                <w:sz w:val="14"/>
              </w:rPr>
              <w:t>Corporate</w:t>
            </w:r>
          </w:p>
        </w:tc>
        <w:tc>
          <w:tcPr>
            <w:tcW w:type="dxa" w:w="1502"/>
            <w:vAlign w:val="center"/>
          </w:tcPr>
          <w:p>
            <w:r>
              <w:rPr>
                <w:sz w:val="14"/>
              </w:rPr>
              <w:t>Rs.150,000</w:t>
            </w:r>
          </w:p>
        </w:tc>
        <w:tc>
          <w:tcPr>
            <w:tcW w:type="dxa" w:w="1502"/>
            <w:vAlign w:val="center"/>
          </w:tcPr>
          <w:p>
            <w:r>
              <w:rPr>
                <w:sz w:val="14"/>
              </w:rPr>
              <w:t>120</w:t>
            </w:r>
          </w:p>
        </w:tc>
        <w:tc>
          <w:tcPr>
            <w:tcW w:type="dxa" w:w="1502"/>
            <w:vAlign w:val="center"/>
          </w:tcPr>
          <w:p>
            <w:r>
              <w:rPr>
                <w:sz w:val="14"/>
              </w:rPr>
              <w:t>1</w:t>
            </w:r>
          </w:p>
        </w:tc>
        <w:tc>
          <w:tcPr>
            <w:tcW w:type="dxa" w:w="1502"/>
            <w:vAlign w:val="center"/>
          </w:tcPr>
          <w:p>
            <w:r>
              <w:rPr>
                <w:sz w:val="14"/>
              </w:rPr>
              <w:t>100%</w:t>
            </w:r>
          </w:p>
        </w:tc>
        <w:tc>
          <w:tcPr>
            <w:tcW w:type="dxa" w:w="1502"/>
            <w:vAlign w:val="center"/>
          </w:tcPr>
          <w:p>
            <w:r>
              <w:rPr>
                <w:sz w:val="14"/>
              </w:rPr>
              <w:t>1.80</w:t>
            </w:r>
          </w:p>
        </w:tc>
      </w:tr>
      <w:tr>
        <w:tc>
          <w:tcPr>
            <w:tcW w:type="dxa" w:w="1502"/>
            <w:vAlign w:val="center"/>
          </w:tcPr>
          <w:p>
            <w:r>
              <w:rPr>
                <w:sz w:val="14"/>
              </w:rPr>
              <w:t>School annual programmes</w:t>
            </w:r>
          </w:p>
        </w:tc>
        <w:tc>
          <w:tcPr>
            <w:tcW w:type="dxa" w:w="1502"/>
            <w:vAlign w:val="center"/>
          </w:tcPr>
          <w:p>
            <w:r>
              <w:rPr>
                <w:sz w:val="14"/>
              </w:rPr>
              <w:t>Schools</w:t>
            </w:r>
          </w:p>
        </w:tc>
        <w:tc>
          <w:tcPr>
            <w:tcW w:type="dxa" w:w="1502"/>
            <w:vAlign w:val="center"/>
          </w:tcPr>
          <w:p>
            <w:r>
              <w:rPr>
                <w:sz w:val="14"/>
              </w:rPr>
              <w:t>Rs.800,000</w:t>
            </w:r>
          </w:p>
        </w:tc>
        <w:tc>
          <w:tcPr>
            <w:tcW w:type="dxa" w:w="1502"/>
            <w:vAlign w:val="center"/>
          </w:tcPr>
          <w:p>
            <w:r>
              <w:rPr>
                <w:sz w:val="14"/>
              </w:rPr>
              <w:t>20</w:t>
            </w:r>
          </w:p>
        </w:tc>
        <w:tc>
          <w:tcPr>
            <w:tcW w:type="dxa" w:w="1502"/>
            <w:vAlign w:val="center"/>
          </w:tcPr>
          <w:p>
            <w:r>
              <w:rPr>
                <w:sz w:val="14"/>
              </w:rPr>
              <w:t>1</w:t>
            </w:r>
          </w:p>
        </w:tc>
        <w:tc>
          <w:tcPr>
            <w:tcW w:type="dxa" w:w="1502"/>
            <w:vAlign w:val="center"/>
          </w:tcPr>
          <w:p>
            <w:r>
              <w:rPr>
                <w:sz w:val="14"/>
              </w:rPr>
              <w:t>100%</w:t>
            </w:r>
          </w:p>
        </w:tc>
        <w:tc>
          <w:tcPr>
            <w:tcW w:type="dxa" w:w="1502"/>
            <w:vAlign w:val="center"/>
          </w:tcPr>
          <w:p>
            <w:r>
              <w:rPr>
                <w:sz w:val="14"/>
              </w:rPr>
              <w:t>1.60</w:t>
            </w:r>
          </w:p>
        </w:tc>
      </w:tr>
      <w:tr>
        <w:tc>
          <w:tcPr>
            <w:tcW w:type="dxa" w:w="1502"/>
            <w:vAlign w:val="center"/>
          </w:tcPr>
          <w:p>
            <w:r>
              <w:rPr>
                <w:sz w:val="14"/>
              </w:rPr>
              <w:t>NGO / CSR programmes</w:t>
            </w:r>
          </w:p>
        </w:tc>
        <w:tc>
          <w:tcPr>
            <w:tcW w:type="dxa" w:w="1502"/>
            <w:vAlign w:val="center"/>
          </w:tcPr>
          <w:p>
            <w:r>
              <w:rPr>
                <w:sz w:val="14"/>
              </w:rPr>
              <w:t>NGO/CSR</w:t>
            </w:r>
          </w:p>
        </w:tc>
        <w:tc>
          <w:tcPr>
            <w:tcW w:type="dxa" w:w="1502"/>
            <w:vAlign w:val="center"/>
          </w:tcPr>
          <w:p>
            <w:r>
              <w:rPr>
                <w:sz w:val="14"/>
              </w:rPr>
              <w:t>Rs.1,200,000</w:t>
            </w:r>
          </w:p>
        </w:tc>
        <w:tc>
          <w:tcPr>
            <w:tcW w:type="dxa" w:w="1502"/>
            <w:vAlign w:val="center"/>
          </w:tcPr>
          <w:p>
            <w:r>
              <w:rPr>
                <w:sz w:val="14"/>
              </w:rPr>
              <w:t>10</w:t>
            </w:r>
          </w:p>
        </w:tc>
        <w:tc>
          <w:tcPr>
            <w:tcW w:type="dxa" w:w="1502"/>
            <w:vAlign w:val="center"/>
          </w:tcPr>
          <w:p>
            <w:r>
              <w:rPr>
                <w:sz w:val="14"/>
              </w:rPr>
              <w:t>1</w:t>
            </w:r>
          </w:p>
        </w:tc>
        <w:tc>
          <w:tcPr>
            <w:tcW w:type="dxa" w:w="1502"/>
            <w:vAlign w:val="center"/>
          </w:tcPr>
          <w:p>
            <w:r>
              <w:rPr>
                <w:sz w:val="14"/>
              </w:rPr>
              <w:t>100%</w:t>
            </w:r>
          </w:p>
        </w:tc>
        <w:tc>
          <w:tcPr>
            <w:tcW w:type="dxa" w:w="1502"/>
            <w:vAlign w:val="center"/>
          </w:tcPr>
          <w:p>
            <w:r>
              <w:rPr>
                <w:sz w:val="14"/>
              </w:rPr>
              <w:t>1.20</w:t>
            </w:r>
          </w:p>
        </w:tc>
      </w:tr>
      <w:tr>
        <w:tc>
          <w:tcPr>
            <w:tcW w:type="dxa" w:w="1502"/>
            <w:vAlign w:val="center"/>
          </w:tcPr>
          <w:p>
            <w:r>
              <w:rPr>
                <w:sz w:val="14"/>
              </w:rPr>
              <w:t>Facility rentals / events</w:t>
            </w:r>
          </w:p>
        </w:tc>
        <w:tc>
          <w:tcPr>
            <w:tcW w:type="dxa" w:w="1502"/>
            <w:vAlign w:val="center"/>
          </w:tcPr>
          <w:p>
            <w:r>
              <w:rPr>
                <w:sz w:val="14"/>
              </w:rPr>
              <w:t>All</w:t>
            </w:r>
          </w:p>
        </w:tc>
        <w:tc>
          <w:tcPr>
            <w:tcW w:type="dxa" w:w="1502"/>
            <w:vAlign w:val="center"/>
          </w:tcPr>
          <w:p>
            <w:r>
              <w:rPr>
                <w:sz w:val="14"/>
              </w:rPr>
              <w:t>Rs.40,000,000</w:t>
            </w:r>
          </w:p>
        </w:tc>
        <w:tc>
          <w:tcPr>
            <w:tcW w:type="dxa" w:w="1502"/>
            <w:vAlign w:val="center"/>
          </w:tcPr>
          <w:p>
            <w:r>
              <w:rPr>
                <w:sz w:val="14"/>
              </w:rPr>
              <w:t>1</w:t>
            </w:r>
          </w:p>
        </w:tc>
        <w:tc>
          <w:tcPr>
            <w:tcW w:type="dxa" w:w="1502"/>
            <w:vAlign w:val="center"/>
          </w:tcPr>
          <w:p>
            <w:r>
              <w:rPr>
                <w:sz w:val="14"/>
              </w:rPr>
              <w:t>1</w:t>
            </w:r>
          </w:p>
        </w:tc>
        <w:tc>
          <w:tcPr>
            <w:tcW w:type="dxa" w:w="1502"/>
            <w:vAlign w:val="center"/>
          </w:tcPr>
          <w:p>
            <w:r>
              <w:rPr>
                <w:sz w:val="14"/>
              </w:rPr>
              <w:t>100%</w:t>
            </w:r>
          </w:p>
        </w:tc>
        <w:tc>
          <w:tcPr>
            <w:tcW w:type="dxa" w:w="1502"/>
            <w:vAlign w:val="center"/>
          </w:tcPr>
          <w:p>
            <w:r>
              <w:rPr>
                <w:sz w:val="14"/>
              </w:rPr>
              <w:t>4.00</w:t>
            </w:r>
          </w:p>
        </w:tc>
      </w:tr>
      <w:tr>
        <w:tc>
          <w:tcPr>
            <w:tcW w:type="dxa" w:w="1502"/>
            <w:vAlign w:val="center"/>
          </w:tcPr>
          <w:p>
            <w:r>
              <w:rPr>
                <w:sz w:val="14"/>
              </w:rPr>
              <w:t>Cafe external sales</w:t>
            </w:r>
          </w:p>
        </w:tc>
        <w:tc>
          <w:tcPr>
            <w:tcW w:type="dxa" w:w="1502"/>
            <w:vAlign w:val="center"/>
          </w:tcPr>
          <w:p>
            <w:r>
              <w:rPr>
                <w:sz w:val="14"/>
              </w:rPr>
              <w:t>All</w:t>
            </w:r>
          </w:p>
        </w:tc>
        <w:tc>
          <w:tcPr>
            <w:tcW w:type="dxa" w:w="1502"/>
            <w:vAlign w:val="center"/>
          </w:tcPr>
          <w:p>
            <w:r>
              <w:rPr>
                <w:sz w:val="14"/>
              </w:rPr>
              <w:t>Rs.20,000,000</w:t>
            </w:r>
          </w:p>
        </w:tc>
        <w:tc>
          <w:tcPr>
            <w:tcW w:type="dxa" w:w="1502"/>
            <w:vAlign w:val="center"/>
          </w:tcPr>
          <w:p>
            <w:r>
              <w:rPr>
                <w:sz w:val="14"/>
              </w:rPr>
              <w:t>1</w:t>
            </w:r>
          </w:p>
        </w:tc>
        <w:tc>
          <w:tcPr>
            <w:tcW w:type="dxa" w:w="1502"/>
            <w:vAlign w:val="center"/>
          </w:tcPr>
          <w:p>
            <w:r>
              <w:rPr>
                <w:sz w:val="14"/>
              </w:rPr>
              <w:t>1</w:t>
            </w:r>
          </w:p>
        </w:tc>
        <w:tc>
          <w:tcPr>
            <w:tcW w:type="dxa" w:w="1502"/>
            <w:vAlign w:val="center"/>
          </w:tcPr>
          <w:p>
            <w:r>
              <w:rPr>
                <w:sz w:val="14"/>
              </w:rPr>
              <w:t>100%</w:t>
            </w:r>
          </w:p>
        </w:tc>
        <w:tc>
          <w:tcPr>
            <w:tcW w:type="dxa" w:w="1502"/>
            <w:vAlign w:val="center"/>
          </w:tcPr>
          <w:p>
            <w:r>
              <w:rPr>
                <w:sz w:val="14"/>
              </w:rPr>
              <w:t>2.00</w:t>
            </w:r>
          </w:p>
        </w:tc>
      </w:tr>
      <w:tr>
        <w:tc>
          <w:tcPr>
            <w:tcW w:type="dxa" w:w="1502"/>
            <w:vAlign w:val="center"/>
          </w:tcPr>
          <w:p>
            <w:r>
              <w:rPr>
                <w:sz w:val="14"/>
              </w:rPr>
              <w:t>Healthcare / physio</w:t>
            </w:r>
          </w:p>
        </w:tc>
        <w:tc>
          <w:tcPr>
            <w:tcW w:type="dxa" w:w="1502"/>
            <w:vAlign w:val="center"/>
          </w:tcPr>
          <w:p>
            <w:r>
              <w:rPr>
                <w:sz w:val="14"/>
              </w:rPr>
              <w:t>All</w:t>
            </w:r>
          </w:p>
        </w:tc>
        <w:tc>
          <w:tcPr>
            <w:tcW w:type="dxa" w:w="1502"/>
            <w:vAlign w:val="center"/>
          </w:tcPr>
          <w:p>
            <w:r>
              <w:rPr>
                <w:sz w:val="14"/>
              </w:rPr>
              <w:t>Rs.12,000,000</w:t>
            </w:r>
          </w:p>
        </w:tc>
        <w:tc>
          <w:tcPr>
            <w:tcW w:type="dxa" w:w="1502"/>
            <w:vAlign w:val="center"/>
          </w:tcPr>
          <w:p>
            <w:r>
              <w:rPr>
                <w:sz w:val="14"/>
              </w:rPr>
              <w:t>1</w:t>
            </w:r>
          </w:p>
        </w:tc>
        <w:tc>
          <w:tcPr>
            <w:tcW w:type="dxa" w:w="1502"/>
            <w:vAlign w:val="center"/>
          </w:tcPr>
          <w:p>
            <w:r>
              <w:rPr>
                <w:sz w:val="14"/>
              </w:rPr>
              <w:t>1</w:t>
            </w:r>
          </w:p>
        </w:tc>
        <w:tc>
          <w:tcPr>
            <w:tcW w:type="dxa" w:w="1502"/>
            <w:vAlign w:val="center"/>
          </w:tcPr>
          <w:p>
            <w:r>
              <w:rPr>
                <w:sz w:val="14"/>
              </w:rPr>
              <w:t>100%</w:t>
            </w:r>
          </w:p>
        </w:tc>
        <w:tc>
          <w:tcPr>
            <w:tcW w:type="dxa" w:w="1502"/>
            <w:vAlign w:val="center"/>
          </w:tcPr>
          <w:p>
            <w:r>
              <w:rPr>
                <w:sz w:val="14"/>
              </w:rPr>
              <w:t>1.20</w:t>
            </w:r>
          </w:p>
        </w:tc>
      </w:tr>
      <w:tr>
        <w:tc>
          <w:tcPr>
            <w:tcW w:type="dxa" w:w="1502"/>
            <w:vAlign w:val="center"/>
          </w:tcPr>
          <w:p>
            <w:r>
              <w:rPr>
                <w:sz w:val="14"/>
              </w:rPr>
              <w:t>Sports management B2B</w:t>
            </w:r>
          </w:p>
        </w:tc>
        <w:tc>
          <w:tcPr>
            <w:tcW w:type="dxa" w:w="1502"/>
            <w:vAlign w:val="center"/>
          </w:tcPr>
          <w:p>
            <w:r>
              <w:rPr>
                <w:sz w:val="14"/>
              </w:rPr>
              <w:t>Schools/corporates</w:t>
            </w:r>
          </w:p>
        </w:tc>
        <w:tc>
          <w:tcPr>
            <w:tcW w:type="dxa" w:w="1502"/>
            <w:vAlign w:val="center"/>
          </w:tcPr>
          <w:p>
            <w:r>
              <w:rPr>
                <w:sz w:val="14"/>
              </w:rPr>
              <w:t>Rs.20,000,000</w:t>
            </w:r>
          </w:p>
        </w:tc>
        <w:tc>
          <w:tcPr>
            <w:tcW w:type="dxa" w:w="1502"/>
            <w:vAlign w:val="center"/>
          </w:tcPr>
          <w:p>
            <w:r>
              <w:rPr>
                <w:sz w:val="14"/>
              </w:rPr>
              <w:t>1</w:t>
            </w:r>
          </w:p>
        </w:tc>
        <w:tc>
          <w:tcPr>
            <w:tcW w:type="dxa" w:w="1502"/>
            <w:vAlign w:val="center"/>
          </w:tcPr>
          <w:p>
            <w:r>
              <w:rPr>
                <w:sz w:val="14"/>
              </w:rPr>
              <w:t>1</w:t>
            </w:r>
          </w:p>
        </w:tc>
        <w:tc>
          <w:tcPr>
            <w:tcW w:type="dxa" w:w="1502"/>
            <w:vAlign w:val="center"/>
          </w:tcPr>
          <w:p>
            <w:r>
              <w:rPr>
                <w:sz w:val="14"/>
              </w:rPr>
              <w:t>100%</w:t>
            </w:r>
          </w:p>
        </w:tc>
        <w:tc>
          <w:tcPr>
            <w:tcW w:type="dxa" w:w="1502"/>
            <w:vAlign w:val="center"/>
          </w:tcPr>
          <w:p>
            <w:r>
              <w:rPr>
                <w:sz w:val="14"/>
              </w:rPr>
              <w:t>2.00</w:t>
            </w:r>
          </w:p>
        </w:tc>
      </w:tr>
      <w:tr>
        <w:tc>
          <w:tcPr>
            <w:tcW w:type="dxa" w:w="1502"/>
            <w:vAlign w:val="center"/>
          </w:tcPr>
          <w:p>
            <w:r>
              <w:rPr>
                <w:sz w:val="14"/>
              </w:rPr>
              <w:t>Transport subscription</w:t>
            </w:r>
          </w:p>
        </w:tc>
        <w:tc>
          <w:tcPr>
            <w:tcW w:type="dxa" w:w="1502"/>
            <w:vAlign w:val="center"/>
          </w:tcPr>
          <w:p>
            <w:r>
              <w:rPr>
                <w:sz w:val="14"/>
              </w:rPr>
              <w:t>Children</w:t>
            </w:r>
          </w:p>
        </w:tc>
        <w:tc>
          <w:tcPr>
            <w:tcW w:type="dxa" w:w="1502"/>
            <w:vAlign w:val="center"/>
          </w:tcPr>
          <w:p>
            <w:r>
              <w:rPr>
                <w:sz w:val="14"/>
              </w:rPr>
              <w:t>Rs.18,000,000</w:t>
            </w:r>
          </w:p>
        </w:tc>
        <w:tc>
          <w:tcPr>
            <w:tcW w:type="dxa" w:w="1502"/>
            <w:vAlign w:val="center"/>
          </w:tcPr>
          <w:p>
            <w:r>
              <w:rPr>
                <w:sz w:val="14"/>
              </w:rPr>
              <w:t>1</w:t>
            </w:r>
          </w:p>
        </w:tc>
        <w:tc>
          <w:tcPr>
            <w:tcW w:type="dxa" w:w="1502"/>
            <w:vAlign w:val="center"/>
          </w:tcPr>
          <w:p>
            <w:r>
              <w:rPr>
                <w:sz w:val="14"/>
              </w:rPr>
              <w:t>1</w:t>
            </w:r>
          </w:p>
        </w:tc>
        <w:tc>
          <w:tcPr>
            <w:tcW w:type="dxa" w:w="1502"/>
            <w:vAlign w:val="center"/>
          </w:tcPr>
          <w:p>
            <w:r>
              <w:rPr>
                <w:sz w:val="14"/>
              </w:rPr>
              <w:t>100%</w:t>
            </w:r>
          </w:p>
        </w:tc>
        <w:tc>
          <w:tcPr>
            <w:tcW w:type="dxa" w:w="1502"/>
            <w:vAlign w:val="center"/>
          </w:tcPr>
          <w:p>
            <w:r>
              <w:rPr>
                <w:sz w:val="14"/>
              </w:rPr>
              <w:t>1.80</w:t>
            </w:r>
          </w:p>
        </w:tc>
      </w:tr>
    </w:tbl>
    <w:p>
      <w:r>
        <w:br w:type="page"/>
      </w:r>
    </w:p>
    <w:p>
      <w:pPr>
        <w:pStyle w:val="Heading1"/>
      </w:pPr>
      <w:r>
        <w:t>40. Olympic Sports Unit Economics - Part 1</w:t>
      </w:r>
    </w:p>
    <w:p>
      <w:pPr>
        <w:spacing w:after="100"/>
      </w:pPr>
      <w:r>
        <w:t>These are illustrative gross revenues and direct costs at mature utilisation. They are not market forecasts.</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1752"/>
            <w:shd w:fill="18304A"/>
          </w:tcPr>
          <w:p>
            <w:r>
              <w:rPr>
                <w:b/>
                <w:color w:val="FFFFFF"/>
                <w:sz w:val="14"/>
              </w:rPr>
              <w:t>Sport</w:t>
            </w:r>
          </w:p>
        </w:tc>
        <w:tc>
          <w:tcPr>
            <w:tcW w:type="dxa" w:w="1752"/>
            <w:shd w:fill="18304A"/>
          </w:tcPr>
          <w:p>
            <w:r>
              <w:rPr>
                <w:b/>
                <w:color w:val="FFFFFF"/>
                <w:sz w:val="14"/>
              </w:rPr>
              <w:t>Monthly fee</w:t>
            </w:r>
          </w:p>
        </w:tc>
        <w:tc>
          <w:tcPr>
            <w:tcW w:type="dxa" w:w="1752"/>
            <w:shd w:fill="18304A"/>
          </w:tcPr>
          <w:p>
            <w:r>
              <w:rPr>
                <w:b/>
                <w:color w:val="FFFFFF"/>
                <w:sz w:val="14"/>
              </w:rPr>
              <w:t>Avg active</w:t>
            </w:r>
          </w:p>
        </w:tc>
        <w:tc>
          <w:tcPr>
            <w:tcW w:type="dxa" w:w="1752"/>
            <w:shd w:fill="18304A"/>
          </w:tcPr>
          <w:p>
            <w:r>
              <w:rPr>
                <w:b/>
                <w:color w:val="FFFFFF"/>
                <w:sz w:val="14"/>
              </w:rPr>
              <w:t>Revenue Cr</w:t>
            </w:r>
          </w:p>
        </w:tc>
        <w:tc>
          <w:tcPr>
            <w:tcW w:type="dxa" w:w="1752"/>
            <w:shd w:fill="18304A"/>
          </w:tcPr>
          <w:p>
            <w:r>
              <w:rPr>
                <w:b/>
                <w:color w:val="FFFFFF"/>
                <w:sz w:val="14"/>
              </w:rPr>
              <w:t>Direct cost Cr</w:t>
            </w:r>
          </w:p>
        </w:tc>
        <w:tc>
          <w:tcPr>
            <w:tcW w:type="dxa" w:w="1752"/>
            <w:shd w:fill="18304A"/>
          </w:tcPr>
          <w:p>
            <w:r>
              <w:rPr>
                <w:b/>
                <w:color w:val="FFFFFF"/>
                <w:sz w:val="14"/>
              </w:rPr>
              <w:t>Contribution Cr</w:t>
            </w:r>
          </w:p>
        </w:tc>
      </w:tr>
      <w:tr>
        <w:tc>
          <w:tcPr>
            <w:tcW w:type="dxa" w:w="1752"/>
            <w:vAlign w:val="center"/>
          </w:tcPr>
          <w:p>
            <w:r>
              <w:rPr>
                <w:sz w:val="14"/>
              </w:rPr>
              <w:t>Aquatics</w:t>
            </w:r>
          </w:p>
        </w:tc>
        <w:tc>
          <w:tcPr>
            <w:tcW w:type="dxa" w:w="1752"/>
            <w:vAlign w:val="center"/>
          </w:tcPr>
          <w:p>
            <w:r>
              <w:rPr>
                <w:sz w:val="14"/>
              </w:rPr>
              <w:t>Rs.5,000</w:t>
            </w:r>
          </w:p>
        </w:tc>
        <w:tc>
          <w:tcPr>
            <w:tcW w:type="dxa" w:w="1752"/>
            <w:vAlign w:val="center"/>
          </w:tcPr>
          <w:p>
            <w:r>
              <w:rPr>
                <w:sz w:val="14"/>
              </w:rPr>
              <w:t>120</w:t>
            </w:r>
          </w:p>
        </w:tc>
        <w:tc>
          <w:tcPr>
            <w:tcW w:type="dxa" w:w="1752"/>
            <w:vAlign w:val="center"/>
          </w:tcPr>
          <w:p>
            <w:r>
              <w:rPr>
                <w:sz w:val="14"/>
              </w:rPr>
              <w:t>0.25</w:t>
            </w:r>
          </w:p>
        </w:tc>
        <w:tc>
          <w:tcPr>
            <w:tcW w:type="dxa" w:w="1752"/>
            <w:vAlign w:val="center"/>
          </w:tcPr>
          <w:p>
            <w:r>
              <w:rPr>
                <w:sz w:val="14"/>
              </w:rPr>
              <w:t>0.14</w:t>
            </w:r>
          </w:p>
        </w:tc>
        <w:tc>
          <w:tcPr>
            <w:tcW w:type="dxa" w:w="1752"/>
            <w:vAlign w:val="center"/>
          </w:tcPr>
          <w:p>
            <w:r>
              <w:rPr>
                <w:sz w:val="14"/>
              </w:rPr>
              <w:t>0.11</w:t>
            </w:r>
          </w:p>
        </w:tc>
      </w:tr>
      <w:tr>
        <w:tc>
          <w:tcPr>
            <w:tcW w:type="dxa" w:w="1752"/>
            <w:vAlign w:val="center"/>
          </w:tcPr>
          <w:p>
            <w:r>
              <w:rPr>
                <w:sz w:val="14"/>
              </w:rPr>
              <w:t>Archery</w:t>
            </w:r>
          </w:p>
        </w:tc>
        <w:tc>
          <w:tcPr>
            <w:tcW w:type="dxa" w:w="1752"/>
            <w:vAlign w:val="center"/>
          </w:tcPr>
          <w:p>
            <w:r>
              <w:rPr>
                <w:sz w:val="14"/>
              </w:rPr>
              <w:t>Rs.3,500</w:t>
            </w:r>
          </w:p>
        </w:tc>
        <w:tc>
          <w:tcPr>
            <w:tcW w:type="dxa" w:w="1752"/>
            <w:vAlign w:val="center"/>
          </w:tcPr>
          <w:p>
            <w:r>
              <w:rPr>
                <w:sz w:val="14"/>
              </w:rPr>
              <w:t>80</w:t>
            </w:r>
          </w:p>
        </w:tc>
        <w:tc>
          <w:tcPr>
            <w:tcW w:type="dxa" w:w="1752"/>
            <w:vAlign w:val="center"/>
          </w:tcPr>
          <w:p>
            <w:r>
              <w:rPr>
                <w:sz w:val="14"/>
              </w:rPr>
              <w:t>0.34</w:t>
            </w:r>
          </w:p>
        </w:tc>
        <w:tc>
          <w:tcPr>
            <w:tcW w:type="dxa" w:w="1752"/>
            <w:vAlign w:val="center"/>
          </w:tcPr>
          <w:p>
            <w:r>
              <w:rPr>
                <w:sz w:val="14"/>
              </w:rPr>
              <w:t>0.18</w:t>
            </w:r>
          </w:p>
        </w:tc>
        <w:tc>
          <w:tcPr>
            <w:tcW w:type="dxa" w:w="1752"/>
            <w:vAlign w:val="center"/>
          </w:tcPr>
          <w:p>
            <w:r>
              <w:rPr>
                <w:sz w:val="14"/>
              </w:rPr>
              <w:t>0.15</w:t>
            </w:r>
          </w:p>
        </w:tc>
      </w:tr>
      <w:tr>
        <w:tc>
          <w:tcPr>
            <w:tcW w:type="dxa" w:w="1752"/>
            <w:vAlign w:val="center"/>
          </w:tcPr>
          <w:p>
            <w:r>
              <w:rPr>
                <w:sz w:val="14"/>
              </w:rPr>
              <w:t>Athletics</w:t>
            </w:r>
          </w:p>
        </w:tc>
        <w:tc>
          <w:tcPr>
            <w:tcW w:type="dxa" w:w="1752"/>
            <w:vAlign w:val="center"/>
          </w:tcPr>
          <w:p>
            <w:r>
              <w:rPr>
                <w:sz w:val="14"/>
              </w:rPr>
              <w:t>Rs.3,000</w:t>
            </w:r>
          </w:p>
        </w:tc>
        <w:tc>
          <w:tcPr>
            <w:tcW w:type="dxa" w:w="1752"/>
            <w:vAlign w:val="center"/>
          </w:tcPr>
          <w:p>
            <w:r>
              <w:rPr>
                <w:sz w:val="14"/>
              </w:rPr>
              <w:t>200</w:t>
            </w:r>
          </w:p>
        </w:tc>
        <w:tc>
          <w:tcPr>
            <w:tcW w:type="dxa" w:w="1752"/>
            <w:vAlign w:val="center"/>
          </w:tcPr>
          <w:p>
            <w:r>
              <w:rPr>
                <w:sz w:val="14"/>
              </w:rPr>
              <w:t>0.72</w:t>
            </w:r>
          </w:p>
        </w:tc>
        <w:tc>
          <w:tcPr>
            <w:tcW w:type="dxa" w:w="1752"/>
            <w:vAlign w:val="center"/>
          </w:tcPr>
          <w:p>
            <w:r>
              <w:rPr>
                <w:sz w:val="14"/>
              </w:rPr>
              <w:t>0.32</w:t>
            </w:r>
          </w:p>
        </w:tc>
        <w:tc>
          <w:tcPr>
            <w:tcW w:type="dxa" w:w="1752"/>
            <w:vAlign w:val="center"/>
          </w:tcPr>
          <w:p>
            <w:r>
              <w:rPr>
                <w:sz w:val="14"/>
              </w:rPr>
              <w:t>0.40</w:t>
            </w:r>
          </w:p>
        </w:tc>
      </w:tr>
      <w:tr>
        <w:tc>
          <w:tcPr>
            <w:tcW w:type="dxa" w:w="1752"/>
            <w:vAlign w:val="center"/>
          </w:tcPr>
          <w:p>
            <w:r>
              <w:rPr>
                <w:sz w:val="14"/>
              </w:rPr>
              <w:t>Badminton</w:t>
            </w:r>
          </w:p>
        </w:tc>
        <w:tc>
          <w:tcPr>
            <w:tcW w:type="dxa" w:w="1752"/>
            <w:vAlign w:val="center"/>
          </w:tcPr>
          <w:p>
            <w:r>
              <w:rPr>
                <w:sz w:val="14"/>
              </w:rPr>
              <w:t>Rs.3,500</w:t>
            </w:r>
          </w:p>
        </w:tc>
        <w:tc>
          <w:tcPr>
            <w:tcW w:type="dxa" w:w="1752"/>
            <w:vAlign w:val="center"/>
          </w:tcPr>
          <w:p>
            <w:r>
              <w:rPr>
                <w:sz w:val="14"/>
              </w:rPr>
              <w:t>180</w:t>
            </w:r>
          </w:p>
        </w:tc>
        <w:tc>
          <w:tcPr>
            <w:tcW w:type="dxa" w:w="1752"/>
            <w:vAlign w:val="center"/>
          </w:tcPr>
          <w:p>
            <w:r>
              <w:rPr>
                <w:sz w:val="14"/>
              </w:rPr>
              <w:t>0.76</w:t>
            </w:r>
          </w:p>
        </w:tc>
        <w:tc>
          <w:tcPr>
            <w:tcW w:type="dxa" w:w="1752"/>
            <w:vAlign w:val="center"/>
          </w:tcPr>
          <w:p>
            <w:r>
              <w:rPr>
                <w:sz w:val="14"/>
              </w:rPr>
              <w:t>0.38</w:t>
            </w:r>
          </w:p>
        </w:tc>
        <w:tc>
          <w:tcPr>
            <w:tcW w:type="dxa" w:w="1752"/>
            <w:vAlign w:val="center"/>
          </w:tcPr>
          <w:p>
            <w:r>
              <w:rPr>
                <w:sz w:val="14"/>
              </w:rPr>
              <w:t>0.38</w:t>
            </w:r>
          </w:p>
        </w:tc>
      </w:tr>
      <w:tr>
        <w:tc>
          <w:tcPr>
            <w:tcW w:type="dxa" w:w="1752"/>
            <w:vAlign w:val="center"/>
          </w:tcPr>
          <w:p>
            <w:r>
              <w:rPr>
                <w:sz w:val="14"/>
              </w:rPr>
              <w:t>Baseball/Softball</w:t>
            </w:r>
          </w:p>
        </w:tc>
        <w:tc>
          <w:tcPr>
            <w:tcW w:type="dxa" w:w="1752"/>
            <w:vAlign w:val="center"/>
          </w:tcPr>
          <w:p>
            <w:r>
              <w:rPr>
                <w:sz w:val="14"/>
              </w:rPr>
              <w:t>Rs.3,000</w:t>
            </w:r>
          </w:p>
        </w:tc>
        <w:tc>
          <w:tcPr>
            <w:tcW w:type="dxa" w:w="1752"/>
            <w:vAlign w:val="center"/>
          </w:tcPr>
          <w:p>
            <w:r>
              <w:rPr>
                <w:sz w:val="14"/>
              </w:rPr>
              <w:t>70</w:t>
            </w:r>
          </w:p>
        </w:tc>
        <w:tc>
          <w:tcPr>
            <w:tcW w:type="dxa" w:w="1752"/>
            <w:vAlign w:val="center"/>
          </w:tcPr>
          <w:p>
            <w:r>
              <w:rPr>
                <w:sz w:val="14"/>
              </w:rPr>
              <w:t>0.25</w:t>
            </w:r>
          </w:p>
        </w:tc>
        <w:tc>
          <w:tcPr>
            <w:tcW w:type="dxa" w:w="1752"/>
            <w:vAlign w:val="center"/>
          </w:tcPr>
          <w:p>
            <w:r>
              <w:rPr>
                <w:sz w:val="14"/>
              </w:rPr>
              <w:t>0.14</w:t>
            </w:r>
          </w:p>
        </w:tc>
        <w:tc>
          <w:tcPr>
            <w:tcW w:type="dxa" w:w="1752"/>
            <w:vAlign w:val="center"/>
          </w:tcPr>
          <w:p>
            <w:r>
              <w:rPr>
                <w:sz w:val="14"/>
              </w:rPr>
              <w:t>0.11</w:t>
            </w:r>
          </w:p>
        </w:tc>
      </w:tr>
      <w:tr>
        <w:tc>
          <w:tcPr>
            <w:tcW w:type="dxa" w:w="1752"/>
            <w:vAlign w:val="center"/>
          </w:tcPr>
          <w:p>
            <w:r>
              <w:rPr>
                <w:sz w:val="14"/>
              </w:rPr>
              <w:t>Basketball</w:t>
            </w:r>
          </w:p>
        </w:tc>
        <w:tc>
          <w:tcPr>
            <w:tcW w:type="dxa" w:w="1752"/>
            <w:vAlign w:val="center"/>
          </w:tcPr>
          <w:p>
            <w:r>
              <w:rPr>
                <w:sz w:val="14"/>
              </w:rPr>
              <w:t>Rs.3,000</w:t>
            </w:r>
          </w:p>
        </w:tc>
        <w:tc>
          <w:tcPr>
            <w:tcW w:type="dxa" w:w="1752"/>
            <w:vAlign w:val="center"/>
          </w:tcPr>
          <w:p>
            <w:r>
              <w:rPr>
                <w:sz w:val="14"/>
              </w:rPr>
              <w:t>180</w:t>
            </w:r>
          </w:p>
        </w:tc>
        <w:tc>
          <w:tcPr>
            <w:tcW w:type="dxa" w:w="1752"/>
            <w:vAlign w:val="center"/>
          </w:tcPr>
          <w:p>
            <w:r>
              <w:rPr>
                <w:sz w:val="14"/>
              </w:rPr>
              <w:t>0.65</w:t>
            </w:r>
          </w:p>
        </w:tc>
        <w:tc>
          <w:tcPr>
            <w:tcW w:type="dxa" w:w="1752"/>
            <w:vAlign w:val="center"/>
          </w:tcPr>
          <w:p>
            <w:r>
              <w:rPr>
                <w:sz w:val="14"/>
              </w:rPr>
              <w:t>0.32</w:t>
            </w:r>
          </w:p>
        </w:tc>
        <w:tc>
          <w:tcPr>
            <w:tcW w:type="dxa" w:w="1752"/>
            <w:vAlign w:val="center"/>
          </w:tcPr>
          <w:p>
            <w:r>
              <w:rPr>
                <w:sz w:val="14"/>
              </w:rPr>
              <w:t>0.32</w:t>
            </w:r>
          </w:p>
        </w:tc>
      </w:tr>
      <w:tr>
        <w:tc>
          <w:tcPr>
            <w:tcW w:type="dxa" w:w="1752"/>
            <w:vAlign w:val="center"/>
          </w:tcPr>
          <w:p>
            <w:r>
              <w:rPr>
                <w:sz w:val="14"/>
              </w:rPr>
              <w:t>Boxing</w:t>
            </w:r>
          </w:p>
        </w:tc>
        <w:tc>
          <w:tcPr>
            <w:tcW w:type="dxa" w:w="1752"/>
            <w:vAlign w:val="center"/>
          </w:tcPr>
          <w:p>
            <w:r>
              <w:rPr>
                <w:sz w:val="14"/>
              </w:rPr>
              <w:t>Rs.3,500</w:t>
            </w:r>
          </w:p>
        </w:tc>
        <w:tc>
          <w:tcPr>
            <w:tcW w:type="dxa" w:w="1752"/>
            <w:vAlign w:val="center"/>
          </w:tcPr>
          <w:p>
            <w:r>
              <w:rPr>
                <w:sz w:val="14"/>
              </w:rPr>
              <w:t>80</w:t>
            </w:r>
          </w:p>
        </w:tc>
        <w:tc>
          <w:tcPr>
            <w:tcW w:type="dxa" w:w="1752"/>
            <w:vAlign w:val="center"/>
          </w:tcPr>
          <w:p>
            <w:r>
              <w:rPr>
                <w:sz w:val="14"/>
              </w:rPr>
              <w:t>0.34</w:t>
            </w:r>
          </w:p>
        </w:tc>
        <w:tc>
          <w:tcPr>
            <w:tcW w:type="dxa" w:w="1752"/>
            <w:vAlign w:val="center"/>
          </w:tcPr>
          <w:p>
            <w:r>
              <w:rPr>
                <w:sz w:val="14"/>
              </w:rPr>
              <w:t>0.20</w:t>
            </w:r>
          </w:p>
        </w:tc>
        <w:tc>
          <w:tcPr>
            <w:tcW w:type="dxa" w:w="1752"/>
            <w:vAlign w:val="center"/>
          </w:tcPr>
          <w:p>
            <w:r>
              <w:rPr>
                <w:sz w:val="14"/>
              </w:rPr>
              <w:t>0.13</w:t>
            </w:r>
          </w:p>
        </w:tc>
      </w:tr>
      <w:tr>
        <w:tc>
          <w:tcPr>
            <w:tcW w:type="dxa" w:w="1752"/>
            <w:vAlign w:val="center"/>
          </w:tcPr>
          <w:p>
            <w:r>
              <w:rPr>
                <w:sz w:val="14"/>
              </w:rPr>
              <w:t>Canoe</w:t>
            </w:r>
          </w:p>
        </w:tc>
        <w:tc>
          <w:tcPr>
            <w:tcW w:type="dxa" w:w="1752"/>
            <w:vAlign w:val="center"/>
          </w:tcPr>
          <w:p>
            <w:r>
              <w:rPr>
                <w:sz w:val="14"/>
              </w:rPr>
              <w:t>Rs.6,000</w:t>
            </w:r>
          </w:p>
        </w:tc>
        <w:tc>
          <w:tcPr>
            <w:tcW w:type="dxa" w:w="1752"/>
            <w:vAlign w:val="center"/>
          </w:tcPr>
          <w:p>
            <w:r>
              <w:rPr>
                <w:sz w:val="14"/>
              </w:rPr>
              <w:t>30</w:t>
            </w:r>
          </w:p>
        </w:tc>
        <w:tc>
          <w:tcPr>
            <w:tcW w:type="dxa" w:w="1752"/>
            <w:vAlign w:val="center"/>
          </w:tcPr>
          <w:p>
            <w:r>
              <w:rPr>
                <w:sz w:val="14"/>
              </w:rPr>
              <w:t>0.06</w:t>
            </w:r>
          </w:p>
        </w:tc>
        <w:tc>
          <w:tcPr>
            <w:tcW w:type="dxa" w:w="1752"/>
            <w:vAlign w:val="center"/>
          </w:tcPr>
          <w:p>
            <w:r>
              <w:rPr>
                <w:sz w:val="14"/>
              </w:rPr>
              <w:t>0.05</w:t>
            </w:r>
          </w:p>
        </w:tc>
        <w:tc>
          <w:tcPr>
            <w:tcW w:type="dxa" w:w="1752"/>
            <w:vAlign w:val="center"/>
          </w:tcPr>
          <w:p>
            <w:r>
              <w:rPr>
                <w:sz w:val="14"/>
              </w:rPr>
              <w:t>0.02</w:t>
            </w:r>
          </w:p>
        </w:tc>
      </w:tr>
      <w:tr>
        <w:tc>
          <w:tcPr>
            <w:tcW w:type="dxa" w:w="1752"/>
            <w:vAlign w:val="center"/>
          </w:tcPr>
          <w:p>
            <w:r>
              <w:rPr>
                <w:sz w:val="14"/>
              </w:rPr>
              <w:t>Cricket</w:t>
            </w:r>
          </w:p>
        </w:tc>
        <w:tc>
          <w:tcPr>
            <w:tcW w:type="dxa" w:w="1752"/>
            <w:vAlign w:val="center"/>
          </w:tcPr>
          <w:p>
            <w:r>
              <w:rPr>
                <w:sz w:val="14"/>
              </w:rPr>
              <w:t>Rs.4,500</w:t>
            </w:r>
          </w:p>
        </w:tc>
        <w:tc>
          <w:tcPr>
            <w:tcW w:type="dxa" w:w="1752"/>
            <w:vAlign w:val="center"/>
          </w:tcPr>
          <w:p>
            <w:r>
              <w:rPr>
                <w:sz w:val="14"/>
              </w:rPr>
              <w:t>450</w:t>
            </w:r>
          </w:p>
        </w:tc>
        <w:tc>
          <w:tcPr>
            <w:tcW w:type="dxa" w:w="1752"/>
            <w:vAlign w:val="center"/>
          </w:tcPr>
          <w:p>
            <w:r>
              <w:rPr>
                <w:sz w:val="14"/>
              </w:rPr>
              <w:t>2.43</w:t>
            </w:r>
          </w:p>
        </w:tc>
        <w:tc>
          <w:tcPr>
            <w:tcW w:type="dxa" w:w="1752"/>
            <w:vAlign w:val="center"/>
          </w:tcPr>
          <w:p>
            <w:r>
              <w:rPr>
                <w:sz w:val="14"/>
              </w:rPr>
              <w:t>1.34</w:t>
            </w:r>
          </w:p>
        </w:tc>
        <w:tc>
          <w:tcPr>
            <w:tcW w:type="dxa" w:w="1752"/>
            <w:vAlign w:val="center"/>
          </w:tcPr>
          <w:p>
            <w:r>
              <w:rPr>
                <w:sz w:val="14"/>
              </w:rPr>
              <w:t>1.09</w:t>
            </w:r>
          </w:p>
        </w:tc>
      </w:tr>
    </w:tbl>
    <w:p>
      <w:r>
        <w:br w:type="page"/>
      </w:r>
    </w:p>
    <w:p>
      <w:pPr>
        <w:pStyle w:val="Heading1"/>
      </w:pPr>
      <w:r>
        <w:t>41. Olympic Sports Unit Economics - Part 2</w:t>
      </w:r>
    </w:p>
    <w:p>
      <w:pPr>
        <w:spacing w:after="100"/>
      </w:pPr>
      <w:r>
        <w:t>These are illustrative gross revenues and direct costs at mature utilisation. They are not market forecasts.</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1752"/>
            <w:shd w:fill="18304A"/>
          </w:tcPr>
          <w:p>
            <w:r>
              <w:rPr>
                <w:b/>
                <w:color w:val="FFFFFF"/>
                <w:sz w:val="14"/>
              </w:rPr>
              <w:t>Sport</w:t>
            </w:r>
          </w:p>
        </w:tc>
        <w:tc>
          <w:tcPr>
            <w:tcW w:type="dxa" w:w="1752"/>
            <w:shd w:fill="18304A"/>
          </w:tcPr>
          <w:p>
            <w:r>
              <w:rPr>
                <w:b/>
                <w:color w:val="FFFFFF"/>
                <w:sz w:val="14"/>
              </w:rPr>
              <w:t>Monthly fee</w:t>
            </w:r>
          </w:p>
        </w:tc>
        <w:tc>
          <w:tcPr>
            <w:tcW w:type="dxa" w:w="1752"/>
            <w:shd w:fill="18304A"/>
          </w:tcPr>
          <w:p>
            <w:r>
              <w:rPr>
                <w:b/>
                <w:color w:val="FFFFFF"/>
                <w:sz w:val="14"/>
              </w:rPr>
              <w:t>Avg active</w:t>
            </w:r>
          </w:p>
        </w:tc>
        <w:tc>
          <w:tcPr>
            <w:tcW w:type="dxa" w:w="1752"/>
            <w:shd w:fill="18304A"/>
          </w:tcPr>
          <w:p>
            <w:r>
              <w:rPr>
                <w:b/>
                <w:color w:val="FFFFFF"/>
                <w:sz w:val="14"/>
              </w:rPr>
              <w:t>Revenue Cr</w:t>
            </w:r>
          </w:p>
        </w:tc>
        <w:tc>
          <w:tcPr>
            <w:tcW w:type="dxa" w:w="1752"/>
            <w:shd w:fill="18304A"/>
          </w:tcPr>
          <w:p>
            <w:r>
              <w:rPr>
                <w:b/>
                <w:color w:val="FFFFFF"/>
                <w:sz w:val="14"/>
              </w:rPr>
              <w:t>Direct cost Cr</w:t>
            </w:r>
          </w:p>
        </w:tc>
        <w:tc>
          <w:tcPr>
            <w:tcW w:type="dxa" w:w="1752"/>
            <w:shd w:fill="18304A"/>
          </w:tcPr>
          <w:p>
            <w:r>
              <w:rPr>
                <w:b/>
                <w:color w:val="FFFFFF"/>
                <w:sz w:val="14"/>
              </w:rPr>
              <w:t>Contribution Cr</w:t>
            </w:r>
          </w:p>
        </w:tc>
      </w:tr>
      <w:tr>
        <w:tc>
          <w:tcPr>
            <w:tcW w:type="dxa" w:w="1752"/>
            <w:vAlign w:val="center"/>
          </w:tcPr>
          <w:p>
            <w:r>
              <w:rPr>
                <w:sz w:val="14"/>
              </w:rPr>
              <w:t>Cycling</w:t>
            </w:r>
          </w:p>
        </w:tc>
        <w:tc>
          <w:tcPr>
            <w:tcW w:type="dxa" w:w="1752"/>
            <w:vAlign w:val="center"/>
          </w:tcPr>
          <w:p>
            <w:r>
              <w:rPr>
                <w:sz w:val="14"/>
              </w:rPr>
              <w:t>Rs.3,500</w:t>
            </w:r>
          </w:p>
        </w:tc>
        <w:tc>
          <w:tcPr>
            <w:tcW w:type="dxa" w:w="1752"/>
            <w:vAlign w:val="center"/>
          </w:tcPr>
          <w:p>
            <w:r>
              <w:rPr>
                <w:sz w:val="14"/>
              </w:rPr>
              <w:t>80</w:t>
            </w:r>
          </w:p>
        </w:tc>
        <w:tc>
          <w:tcPr>
            <w:tcW w:type="dxa" w:w="1752"/>
            <w:vAlign w:val="center"/>
          </w:tcPr>
          <w:p>
            <w:r>
              <w:rPr>
                <w:sz w:val="14"/>
              </w:rPr>
              <w:t>0.34</w:t>
            </w:r>
          </w:p>
        </w:tc>
        <w:tc>
          <w:tcPr>
            <w:tcW w:type="dxa" w:w="1752"/>
            <w:vAlign w:val="center"/>
          </w:tcPr>
          <w:p>
            <w:r>
              <w:rPr>
                <w:sz w:val="14"/>
              </w:rPr>
              <w:t>0.18</w:t>
            </w:r>
          </w:p>
        </w:tc>
        <w:tc>
          <w:tcPr>
            <w:tcW w:type="dxa" w:w="1752"/>
            <w:vAlign w:val="center"/>
          </w:tcPr>
          <w:p>
            <w:r>
              <w:rPr>
                <w:sz w:val="14"/>
              </w:rPr>
              <w:t>0.15</w:t>
            </w:r>
          </w:p>
        </w:tc>
      </w:tr>
      <w:tr>
        <w:tc>
          <w:tcPr>
            <w:tcW w:type="dxa" w:w="1752"/>
            <w:vAlign w:val="center"/>
          </w:tcPr>
          <w:p>
            <w:r>
              <w:rPr>
                <w:sz w:val="14"/>
              </w:rPr>
              <w:t>Equestrian</w:t>
            </w:r>
          </w:p>
        </w:tc>
        <w:tc>
          <w:tcPr>
            <w:tcW w:type="dxa" w:w="1752"/>
            <w:vAlign w:val="center"/>
          </w:tcPr>
          <w:p>
            <w:r>
              <w:rPr>
                <w:sz w:val="14"/>
              </w:rPr>
              <w:t>Rs.8,000</w:t>
            </w:r>
          </w:p>
        </w:tc>
        <w:tc>
          <w:tcPr>
            <w:tcW w:type="dxa" w:w="1752"/>
            <w:vAlign w:val="center"/>
          </w:tcPr>
          <w:p>
            <w:r>
              <w:rPr>
                <w:sz w:val="14"/>
              </w:rPr>
              <w:t>30</w:t>
            </w:r>
          </w:p>
        </w:tc>
        <w:tc>
          <w:tcPr>
            <w:tcW w:type="dxa" w:w="1752"/>
            <w:vAlign w:val="center"/>
          </w:tcPr>
          <w:p>
            <w:r>
              <w:rPr>
                <w:sz w:val="14"/>
              </w:rPr>
              <w:t>0.07</w:t>
            </w:r>
          </w:p>
        </w:tc>
        <w:tc>
          <w:tcPr>
            <w:tcW w:type="dxa" w:w="1752"/>
            <w:vAlign w:val="center"/>
          </w:tcPr>
          <w:p>
            <w:r>
              <w:rPr>
                <w:sz w:val="14"/>
              </w:rPr>
              <w:t>0.06</w:t>
            </w:r>
          </w:p>
        </w:tc>
        <w:tc>
          <w:tcPr>
            <w:tcW w:type="dxa" w:w="1752"/>
            <w:vAlign w:val="center"/>
          </w:tcPr>
          <w:p>
            <w:r>
              <w:rPr>
                <w:sz w:val="14"/>
              </w:rPr>
              <w:t>0.01</w:t>
            </w:r>
          </w:p>
        </w:tc>
      </w:tr>
      <w:tr>
        <w:tc>
          <w:tcPr>
            <w:tcW w:type="dxa" w:w="1752"/>
            <w:vAlign w:val="center"/>
          </w:tcPr>
          <w:p>
            <w:r>
              <w:rPr>
                <w:sz w:val="14"/>
              </w:rPr>
              <w:t>Fencing</w:t>
            </w:r>
          </w:p>
        </w:tc>
        <w:tc>
          <w:tcPr>
            <w:tcW w:type="dxa" w:w="1752"/>
            <w:vAlign w:val="center"/>
          </w:tcPr>
          <w:p>
            <w:r>
              <w:rPr>
                <w:sz w:val="14"/>
              </w:rPr>
              <w:t>Rs.4,000</w:t>
            </w:r>
          </w:p>
        </w:tc>
        <w:tc>
          <w:tcPr>
            <w:tcW w:type="dxa" w:w="1752"/>
            <w:vAlign w:val="center"/>
          </w:tcPr>
          <w:p>
            <w:r>
              <w:rPr>
                <w:sz w:val="14"/>
              </w:rPr>
              <w:t>60</w:t>
            </w:r>
          </w:p>
        </w:tc>
        <w:tc>
          <w:tcPr>
            <w:tcW w:type="dxa" w:w="1752"/>
            <w:vAlign w:val="center"/>
          </w:tcPr>
          <w:p>
            <w:r>
              <w:rPr>
                <w:sz w:val="14"/>
              </w:rPr>
              <w:t>0.29</w:t>
            </w:r>
          </w:p>
        </w:tc>
        <w:tc>
          <w:tcPr>
            <w:tcW w:type="dxa" w:w="1752"/>
            <w:vAlign w:val="center"/>
          </w:tcPr>
          <w:p>
            <w:r>
              <w:rPr>
                <w:sz w:val="14"/>
              </w:rPr>
              <w:t>0.16</w:t>
            </w:r>
          </w:p>
        </w:tc>
        <w:tc>
          <w:tcPr>
            <w:tcW w:type="dxa" w:w="1752"/>
            <w:vAlign w:val="center"/>
          </w:tcPr>
          <w:p>
            <w:r>
              <w:rPr>
                <w:sz w:val="14"/>
              </w:rPr>
              <w:t>0.13</w:t>
            </w:r>
          </w:p>
        </w:tc>
      </w:tr>
      <w:tr>
        <w:tc>
          <w:tcPr>
            <w:tcW w:type="dxa" w:w="1752"/>
            <w:vAlign w:val="center"/>
          </w:tcPr>
          <w:p>
            <w:r>
              <w:rPr>
                <w:sz w:val="14"/>
              </w:rPr>
              <w:t>Flag Football</w:t>
            </w:r>
          </w:p>
        </w:tc>
        <w:tc>
          <w:tcPr>
            <w:tcW w:type="dxa" w:w="1752"/>
            <w:vAlign w:val="center"/>
          </w:tcPr>
          <w:p>
            <w:r>
              <w:rPr>
                <w:sz w:val="14"/>
              </w:rPr>
              <w:t>Rs.3,000</w:t>
            </w:r>
          </w:p>
        </w:tc>
        <w:tc>
          <w:tcPr>
            <w:tcW w:type="dxa" w:w="1752"/>
            <w:vAlign w:val="center"/>
          </w:tcPr>
          <w:p>
            <w:r>
              <w:rPr>
                <w:sz w:val="14"/>
              </w:rPr>
              <w:t>70</w:t>
            </w:r>
          </w:p>
        </w:tc>
        <w:tc>
          <w:tcPr>
            <w:tcW w:type="dxa" w:w="1752"/>
            <w:vAlign w:val="center"/>
          </w:tcPr>
          <w:p>
            <w:r>
              <w:rPr>
                <w:sz w:val="14"/>
              </w:rPr>
              <w:t>0.25</w:t>
            </w:r>
          </w:p>
        </w:tc>
        <w:tc>
          <w:tcPr>
            <w:tcW w:type="dxa" w:w="1752"/>
            <w:vAlign w:val="center"/>
          </w:tcPr>
          <w:p>
            <w:r>
              <w:rPr>
                <w:sz w:val="14"/>
              </w:rPr>
              <w:t>0.13</w:t>
            </w:r>
          </w:p>
        </w:tc>
        <w:tc>
          <w:tcPr>
            <w:tcW w:type="dxa" w:w="1752"/>
            <w:vAlign w:val="center"/>
          </w:tcPr>
          <w:p>
            <w:r>
              <w:rPr>
                <w:sz w:val="14"/>
              </w:rPr>
              <w:t>0.13</w:t>
            </w:r>
          </w:p>
        </w:tc>
      </w:tr>
      <w:tr>
        <w:tc>
          <w:tcPr>
            <w:tcW w:type="dxa" w:w="1752"/>
            <w:vAlign w:val="center"/>
          </w:tcPr>
          <w:p>
            <w:r>
              <w:rPr>
                <w:sz w:val="14"/>
              </w:rPr>
              <w:t>Football</w:t>
            </w:r>
          </w:p>
        </w:tc>
        <w:tc>
          <w:tcPr>
            <w:tcW w:type="dxa" w:w="1752"/>
            <w:vAlign w:val="center"/>
          </w:tcPr>
          <w:p>
            <w:r>
              <w:rPr>
                <w:sz w:val="14"/>
              </w:rPr>
              <w:t>Rs.4,000</w:t>
            </w:r>
          </w:p>
        </w:tc>
        <w:tc>
          <w:tcPr>
            <w:tcW w:type="dxa" w:w="1752"/>
            <w:vAlign w:val="center"/>
          </w:tcPr>
          <w:p>
            <w:r>
              <w:rPr>
                <w:sz w:val="14"/>
              </w:rPr>
              <w:t>450</w:t>
            </w:r>
          </w:p>
        </w:tc>
        <w:tc>
          <w:tcPr>
            <w:tcW w:type="dxa" w:w="1752"/>
            <w:vAlign w:val="center"/>
          </w:tcPr>
          <w:p>
            <w:r>
              <w:rPr>
                <w:sz w:val="14"/>
              </w:rPr>
              <w:t>2.16</w:t>
            </w:r>
          </w:p>
        </w:tc>
        <w:tc>
          <w:tcPr>
            <w:tcW w:type="dxa" w:w="1752"/>
            <w:vAlign w:val="center"/>
          </w:tcPr>
          <w:p>
            <w:r>
              <w:rPr>
                <w:sz w:val="14"/>
              </w:rPr>
              <w:t>1.08</w:t>
            </w:r>
          </w:p>
        </w:tc>
        <w:tc>
          <w:tcPr>
            <w:tcW w:type="dxa" w:w="1752"/>
            <w:vAlign w:val="center"/>
          </w:tcPr>
          <w:p>
            <w:r>
              <w:rPr>
                <w:sz w:val="14"/>
              </w:rPr>
              <w:t>1.08</w:t>
            </w:r>
          </w:p>
        </w:tc>
      </w:tr>
      <w:tr>
        <w:tc>
          <w:tcPr>
            <w:tcW w:type="dxa" w:w="1752"/>
            <w:vAlign w:val="center"/>
          </w:tcPr>
          <w:p>
            <w:r>
              <w:rPr>
                <w:sz w:val="14"/>
              </w:rPr>
              <w:t>Golf</w:t>
            </w:r>
          </w:p>
        </w:tc>
        <w:tc>
          <w:tcPr>
            <w:tcW w:type="dxa" w:w="1752"/>
            <w:vAlign w:val="center"/>
          </w:tcPr>
          <w:p>
            <w:r>
              <w:rPr>
                <w:sz w:val="14"/>
              </w:rPr>
              <w:t>Rs.6,000</w:t>
            </w:r>
          </w:p>
        </w:tc>
        <w:tc>
          <w:tcPr>
            <w:tcW w:type="dxa" w:w="1752"/>
            <w:vAlign w:val="center"/>
          </w:tcPr>
          <w:p>
            <w:r>
              <w:rPr>
                <w:sz w:val="14"/>
              </w:rPr>
              <w:t>40</w:t>
            </w:r>
          </w:p>
        </w:tc>
        <w:tc>
          <w:tcPr>
            <w:tcW w:type="dxa" w:w="1752"/>
            <w:vAlign w:val="center"/>
          </w:tcPr>
          <w:p>
            <w:r>
              <w:rPr>
                <w:sz w:val="14"/>
              </w:rPr>
              <w:t>0.07</w:t>
            </w:r>
          </w:p>
        </w:tc>
        <w:tc>
          <w:tcPr>
            <w:tcW w:type="dxa" w:w="1752"/>
            <w:vAlign w:val="center"/>
          </w:tcPr>
          <w:p>
            <w:r>
              <w:rPr>
                <w:sz w:val="14"/>
              </w:rPr>
              <w:t>0.05</w:t>
            </w:r>
          </w:p>
        </w:tc>
        <w:tc>
          <w:tcPr>
            <w:tcW w:type="dxa" w:w="1752"/>
            <w:vAlign w:val="center"/>
          </w:tcPr>
          <w:p>
            <w:r>
              <w:rPr>
                <w:sz w:val="14"/>
              </w:rPr>
              <w:t>0.02</w:t>
            </w:r>
          </w:p>
        </w:tc>
      </w:tr>
      <w:tr>
        <w:tc>
          <w:tcPr>
            <w:tcW w:type="dxa" w:w="1752"/>
            <w:vAlign w:val="center"/>
          </w:tcPr>
          <w:p>
            <w:r>
              <w:rPr>
                <w:sz w:val="14"/>
              </w:rPr>
              <w:t>Gymnastics</w:t>
            </w:r>
          </w:p>
        </w:tc>
        <w:tc>
          <w:tcPr>
            <w:tcW w:type="dxa" w:w="1752"/>
            <w:vAlign w:val="center"/>
          </w:tcPr>
          <w:p>
            <w:r>
              <w:rPr>
                <w:sz w:val="14"/>
              </w:rPr>
              <w:t>Rs.3,500</w:t>
            </w:r>
          </w:p>
        </w:tc>
        <w:tc>
          <w:tcPr>
            <w:tcW w:type="dxa" w:w="1752"/>
            <w:vAlign w:val="center"/>
          </w:tcPr>
          <w:p>
            <w:r>
              <w:rPr>
                <w:sz w:val="14"/>
              </w:rPr>
              <w:t>120</w:t>
            </w:r>
          </w:p>
        </w:tc>
        <w:tc>
          <w:tcPr>
            <w:tcW w:type="dxa" w:w="1752"/>
            <w:vAlign w:val="center"/>
          </w:tcPr>
          <w:p>
            <w:r>
              <w:rPr>
                <w:sz w:val="14"/>
              </w:rPr>
              <w:t>0.50</w:t>
            </w:r>
          </w:p>
        </w:tc>
        <w:tc>
          <w:tcPr>
            <w:tcW w:type="dxa" w:w="1752"/>
            <w:vAlign w:val="center"/>
          </w:tcPr>
          <w:p>
            <w:r>
              <w:rPr>
                <w:sz w:val="14"/>
              </w:rPr>
              <w:t>0.30</w:t>
            </w:r>
          </w:p>
        </w:tc>
        <w:tc>
          <w:tcPr>
            <w:tcW w:type="dxa" w:w="1752"/>
            <w:vAlign w:val="center"/>
          </w:tcPr>
          <w:p>
            <w:r>
              <w:rPr>
                <w:sz w:val="14"/>
              </w:rPr>
              <w:t>0.20</w:t>
            </w:r>
          </w:p>
        </w:tc>
      </w:tr>
      <w:tr>
        <w:tc>
          <w:tcPr>
            <w:tcW w:type="dxa" w:w="1752"/>
            <w:vAlign w:val="center"/>
          </w:tcPr>
          <w:p>
            <w:r>
              <w:rPr>
                <w:sz w:val="14"/>
              </w:rPr>
              <w:t>Handball</w:t>
            </w:r>
          </w:p>
        </w:tc>
        <w:tc>
          <w:tcPr>
            <w:tcW w:type="dxa" w:w="1752"/>
            <w:vAlign w:val="center"/>
          </w:tcPr>
          <w:p>
            <w:r>
              <w:rPr>
                <w:sz w:val="14"/>
              </w:rPr>
              <w:t>Rs.3,000</w:t>
            </w:r>
          </w:p>
        </w:tc>
        <w:tc>
          <w:tcPr>
            <w:tcW w:type="dxa" w:w="1752"/>
            <w:vAlign w:val="center"/>
          </w:tcPr>
          <w:p>
            <w:r>
              <w:rPr>
                <w:sz w:val="14"/>
              </w:rPr>
              <w:t>80</w:t>
            </w:r>
          </w:p>
        </w:tc>
        <w:tc>
          <w:tcPr>
            <w:tcW w:type="dxa" w:w="1752"/>
            <w:vAlign w:val="center"/>
          </w:tcPr>
          <w:p>
            <w:r>
              <w:rPr>
                <w:sz w:val="14"/>
              </w:rPr>
              <w:t>0.29</w:t>
            </w:r>
          </w:p>
        </w:tc>
        <w:tc>
          <w:tcPr>
            <w:tcW w:type="dxa" w:w="1752"/>
            <w:vAlign w:val="center"/>
          </w:tcPr>
          <w:p>
            <w:r>
              <w:rPr>
                <w:sz w:val="14"/>
              </w:rPr>
              <w:t>0.14</w:t>
            </w:r>
          </w:p>
        </w:tc>
        <w:tc>
          <w:tcPr>
            <w:tcW w:type="dxa" w:w="1752"/>
            <w:vAlign w:val="center"/>
          </w:tcPr>
          <w:p>
            <w:r>
              <w:rPr>
                <w:sz w:val="14"/>
              </w:rPr>
              <w:t>0.14</w:t>
            </w:r>
          </w:p>
        </w:tc>
      </w:tr>
      <w:tr>
        <w:tc>
          <w:tcPr>
            <w:tcW w:type="dxa" w:w="1752"/>
            <w:vAlign w:val="center"/>
          </w:tcPr>
          <w:p>
            <w:r>
              <w:rPr>
                <w:sz w:val="14"/>
              </w:rPr>
              <w:t>Hockey</w:t>
            </w:r>
          </w:p>
        </w:tc>
        <w:tc>
          <w:tcPr>
            <w:tcW w:type="dxa" w:w="1752"/>
            <w:vAlign w:val="center"/>
          </w:tcPr>
          <w:p>
            <w:r>
              <w:rPr>
                <w:sz w:val="14"/>
              </w:rPr>
              <w:t>Rs.3,500</w:t>
            </w:r>
          </w:p>
        </w:tc>
        <w:tc>
          <w:tcPr>
            <w:tcW w:type="dxa" w:w="1752"/>
            <w:vAlign w:val="center"/>
          </w:tcPr>
          <w:p>
            <w:r>
              <w:rPr>
                <w:sz w:val="14"/>
              </w:rPr>
              <w:t>180</w:t>
            </w:r>
          </w:p>
        </w:tc>
        <w:tc>
          <w:tcPr>
            <w:tcW w:type="dxa" w:w="1752"/>
            <w:vAlign w:val="center"/>
          </w:tcPr>
          <w:p>
            <w:r>
              <w:rPr>
                <w:sz w:val="14"/>
              </w:rPr>
              <w:t>0.76</w:t>
            </w:r>
          </w:p>
        </w:tc>
        <w:tc>
          <w:tcPr>
            <w:tcW w:type="dxa" w:w="1752"/>
            <w:vAlign w:val="center"/>
          </w:tcPr>
          <w:p>
            <w:r>
              <w:rPr>
                <w:sz w:val="14"/>
              </w:rPr>
              <w:t>0.42</w:t>
            </w:r>
          </w:p>
        </w:tc>
        <w:tc>
          <w:tcPr>
            <w:tcW w:type="dxa" w:w="1752"/>
            <w:vAlign w:val="center"/>
          </w:tcPr>
          <w:p>
            <w:r>
              <w:rPr>
                <w:sz w:val="14"/>
              </w:rPr>
              <w:t>0.34</w:t>
            </w:r>
          </w:p>
        </w:tc>
      </w:tr>
    </w:tbl>
    <w:p>
      <w:r>
        <w:br w:type="page"/>
      </w:r>
    </w:p>
    <w:p>
      <w:pPr>
        <w:pStyle w:val="Heading1"/>
      </w:pPr>
      <w:r>
        <w:t>42. Olympic Sports Unit Economics - Part 3</w:t>
      </w:r>
    </w:p>
    <w:p>
      <w:pPr>
        <w:spacing w:after="100"/>
      </w:pPr>
      <w:r>
        <w:t>These are illustrative gross revenues and direct costs at mature utilisation. They are not market forecasts.</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1752"/>
            <w:shd w:fill="18304A"/>
          </w:tcPr>
          <w:p>
            <w:r>
              <w:rPr>
                <w:b/>
                <w:color w:val="FFFFFF"/>
                <w:sz w:val="14"/>
              </w:rPr>
              <w:t>Sport</w:t>
            </w:r>
          </w:p>
        </w:tc>
        <w:tc>
          <w:tcPr>
            <w:tcW w:type="dxa" w:w="1752"/>
            <w:shd w:fill="18304A"/>
          </w:tcPr>
          <w:p>
            <w:r>
              <w:rPr>
                <w:b/>
                <w:color w:val="FFFFFF"/>
                <w:sz w:val="14"/>
              </w:rPr>
              <w:t>Monthly fee</w:t>
            </w:r>
          </w:p>
        </w:tc>
        <w:tc>
          <w:tcPr>
            <w:tcW w:type="dxa" w:w="1752"/>
            <w:shd w:fill="18304A"/>
          </w:tcPr>
          <w:p>
            <w:r>
              <w:rPr>
                <w:b/>
                <w:color w:val="FFFFFF"/>
                <w:sz w:val="14"/>
              </w:rPr>
              <w:t>Avg active</w:t>
            </w:r>
          </w:p>
        </w:tc>
        <w:tc>
          <w:tcPr>
            <w:tcW w:type="dxa" w:w="1752"/>
            <w:shd w:fill="18304A"/>
          </w:tcPr>
          <w:p>
            <w:r>
              <w:rPr>
                <w:b/>
                <w:color w:val="FFFFFF"/>
                <w:sz w:val="14"/>
              </w:rPr>
              <w:t>Revenue Cr</w:t>
            </w:r>
          </w:p>
        </w:tc>
        <w:tc>
          <w:tcPr>
            <w:tcW w:type="dxa" w:w="1752"/>
            <w:shd w:fill="18304A"/>
          </w:tcPr>
          <w:p>
            <w:r>
              <w:rPr>
                <w:b/>
                <w:color w:val="FFFFFF"/>
                <w:sz w:val="14"/>
              </w:rPr>
              <w:t>Direct cost Cr</w:t>
            </w:r>
          </w:p>
        </w:tc>
        <w:tc>
          <w:tcPr>
            <w:tcW w:type="dxa" w:w="1752"/>
            <w:shd w:fill="18304A"/>
          </w:tcPr>
          <w:p>
            <w:r>
              <w:rPr>
                <w:b/>
                <w:color w:val="FFFFFF"/>
                <w:sz w:val="14"/>
              </w:rPr>
              <w:t>Contribution Cr</w:t>
            </w:r>
          </w:p>
        </w:tc>
      </w:tr>
      <w:tr>
        <w:tc>
          <w:tcPr>
            <w:tcW w:type="dxa" w:w="1752"/>
            <w:vAlign w:val="center"/>
          </w:tcPr>
          <w:p>
            <w:r>
              <w:rPr>
                <w:sz w:val="14"/>
              </w:rPr>
              <w:t>Judo</w:t>
            </w:r>
          </w:p>
        </w:tc>
        <w:tc>
          <w:tcPr>
            <w:tcW w:type="dxa" w:w="1752"/>
            <w:vAlign w:val="center"/>
          </w:tcPr>
          <w:p>
            <w:r>
              <w:rPr>
                <w:sz w:val="14"/>
              </w:rPr>
              <w:t>Rs.3,000</w:t>
            </w:r>
          </w:p>
        </w:tc>
        <w:tc>
          <w:tcPr>
            <w:tcW w:type="dxa" w:w="1752"/>
            <w:vAlign w:val="center"/>
          </w:tcPr>
          <w:p>
            <w:r>
              <w:rPr>
                <w:sz w:val="14"/>
              </w:rPr>
              <w:t>100</w:t>
            </w:r>
          </w:p>
        </w:tc>
        <w:tc>
          <w:tcPr>
            <w:tcW w:type="dxa" w:w="1752"/>
            <w:vAlign w:val="center"/>
          </w:tcPr>
          <w:p>
            <w:r>
              <w:rPr>
                <w:sz w:val="14"/>
              </w:rPr>
              <w:t>0.36</w:t>
            </w:r>
          </w:p>
        </w:tc>
        <w:tc>
          <w:tcPr>
            <w:tcW w:type="dxa" w:w="1752"/>
            <w:vAlign w:val="center"/>
          </w:tcPr>
          <w:p>
            <w:r>
              <w:rPr>
                <w:sz w:val="14"/>
              </w:rPr>
              <w:t>0.20</w:t>
            </w:r>
          </w:p>
        </w:tc>
        <w:tc>
          <w:tcPr>
            <w:tcW w:type="dxa" w:w="1752"/>
            <w:vAlign w:val="center"/>
          </w:tcPr>
          <w:p>
            <w:r>
              <w:rPr>
                <w:sz w:val="14"/>
              </w:rPr>
              <w:t>0.16</w:t>
            </w:r>
          </w:p>
        </w:tc>
      </w:tr>
      <w:tr>
        <w:tc>
          <w:tcPr>
            <w:tcW w:type="dxa" w:w="1752"/>
            <w:vAlign w:val="center"/>
          </w:tcPr>
          <w:p>
            <w:r>
              <w:rPr>
                <w:sz w:val="14"/>
              </w:rPr>
              <w:t>Lacrosse</w:t>
            </w:r>
          </w:p>
        </w:tc>
        <w:tc>
          <w:tcPr>
            <w:tcW w:type="dxa" w:w="1752"/>
            <w:vAlign w:val="center"/>
          </w:tcPr>
          <w:p>
            <w:r>
              <w:rPr>
                <w:sz w:val="14"/>
              </w:rPr>
              <w:t>Rs.3,000</w:t>
            </w:r>
          </w:p>
        </w:tc>
        <w:tc>
          <w:tcPr>
            <w:tcW w:type="dxa" w:w="1752"/>
            <w:vAlign w:val="center"/>
          </w:tcPr>
          <w:p>
            <w:r>
              <w:rPr>
                <w:sz w:val="14"/>
              </w:rPr>
              <w:t>60</w:t>
            </w:r>
          </w:p>
        </w:tc>
        <w:tc>
          <w:tcPr>
            <w:tcW w:type="dxa" w:w="1752"/>
            <w:vAlign w:val="center"/>
          </w:tcPr>
          <w:p>
            <w:r>
              <w:rPr>
                <w:sz w:val="14"/>
              </w:rPr>
              <w:t>0.22</w:t>
            </w:r>
          </w:p>
        </w:tc>
        <w:tc>
          <w:tcPr>
            <w:tcW w:type="dxa" w:w="1752"/>
            <w:vAlign w:val="center"/>
          </w:tcPr>
          <w:p>
            <w:r>
              <w:rPr>
                <w:sz w:val="14"/>
              </w:rPr>
              <w:t>0.12</w:t>
            </w:r>
          </w:p>
        </w:tc>
        <w:tc>
          <w:tcPr>
            <w:tcW w:type="dxa" w:w="1752"/>
            <w:vAlign w:val="center"/>
          </w:tcPr>
          <w:p>
            <w:r>
              <w:rPr>
                <w:sz w:val="14"/>
              </w:rPr>
              <w:t>0.10</w:t>
            </w:r>
          </w:p>
        </w:tc>
      </w:tr>
      <w:tr>
        <w:tc>
          <w:tcPr>
            <w:tcW w:type="dxa" w:w="1752"/>
            <w:vAlign w:val="center"/>
          </w:tcPr>
          <w:p>
            <w:r>
              <w:rPr>
                <w:sz w:val="14"/>
              </w:rPr>
              <w:t>Modern Pentathlon</w:t>
            </w:r>
          </w:p>
        </w:tc>
        <w:tc>
          <w:tcPr>
            <w:tcW w:type="dxa" w:w="1752"/>
            <w:vAlign w:val="center"/>
          </w:tcPr>
          <w:p>
            <w:r>
              <w:rPr>
                <w:sz w:val="14"/>
              </w:rPr>
              <w:t>Rs.5,000</w:t>
            </w:r>
          </w:p>
        </w:tc>
        <w:tc>
          <w:tcPr>
            <w:tcW w:type="dxa" w:w="1752"/>
            <w:vAlign w:val="center"/>
          </w:tcPr>
          <w:p>
            <w:r>
              <w:rPr>
                <w:sz w:val="14"/>
              </w:rPr>
              <w:t>40</w:t>
            </w:r>
          </w:p>
        </w:tc>
        <w:tc>
          <w:tcPr>
            <w:tcW w:type="dxa" w:w="1752"/>
            <w:vAlign w:val="center"/>
          </w:tcPr>
          <w:p>
            <w:r>
              <w:rPr>
                <w:sz w:val="14"/>
              </w:rPr>
              <w:t>0.09</w:t>
            </w:r>
          </w:p>
        </w:tc>
        <w:tc>
          <w:tcPr>
            <w:tcW w:type="dxa" w:w="1752"/>
            <w:vAlign w:val="center"/>
          </w:tcPr>
          <w:p>
            <w:r>
              <w:rPr>
                <w:sz w:val="14"/>
              </w:rPr>
              <w:t>0.06</w:t>
            </w:r>
          </w:p>
        </w:tc>
        <w:tc>
          <w:tcPr>
            <w:tcW w:type="dxa" w:w="1752"/>
            <w:vAlign w:val="center"/>
          </w:tcPr>
          <w:p>
            <w:r>
              <w:rPr>
                <w:sz w:val="14"/>
              </w:rPr>
              <w:t>0.03</w:t>
            </w:r>
          </w:p>
        </w:tc>
      </w:tr>
      <w:tr>
        <w:tc>
          <w:tcPr>
            <w:tcW w:type="dxa" w:w="1752"/>
            <w:vAlign w:val="center"/>
          </w:tcPr>
          <w:p>
            <w:r>
              <w:rPr>
                <w:sz w:val="14"/>
              </w:rPr>
              <w:t>Rowing</w:t>
            </w:r>
          </w:p>
        </w:tc>
        <w:tc>
          <w:tcPr>
            <w:tcW w:type="dxa" w:w="1752"/>
            <w:vAlign w:val="center"/>
          </w:tcPr>
          <w:p>
            <w:r>
              <w:rPr>
                <w:sz w:val="14"/>
              </w:rPr>
              <w:t>Rs.6,000</w:t>
            </w:r>
          </w:p>
        </w:tc>
        <w:tc>
          <w:tcPr>
            <w:tcW w:type="dxa" w:w="1752"/>
            <w:vAlign w:val="center"/>
          </w:tcPr>
          <w:p>
            <w:r>
              <w:rPr>
                <w:sz w:val="14"/>
              </w:rPr>
              <w:t>30</w:t>
            </w:r>
          </w:p>
        </w:tc>
        <w:tc>
          <w:tcPr>
            <w:tcW w:type="dxa" w:w="1752"/>
            <w:vAlign w:val="center"/>
          </w:tcPr>
          <w:p>
            <w:r>
              <w:rPr>
                <w:sz w:val="14"/>
              </w:rPr>
              <w:t>0.06</w:t>
            </w:r>
          </w:p>
        </w:tc>
        <w:tc>
          <w:tcPr>
            <w:tcW w:type="dxa" w:w="1752"/>
            <w:vAlign w:val="center"/>
          </w:tcPr>
          <w:p>
            <w:r>
              <w:rPr>
                <w:sz w:val="14"/>
              </w:rPr>
              <w:t>0.05</w:t>
            </w:r>
          </w:p>
        </w:tc>
        <w:tc>
          <w:tcPr>
            <w:tcW w:type="dxa" w:w="1752"/>
            <w:vAlign w:val="center"/>
          </w:tcPr>
          <w:p>
            <w:r>
              <w:rPr>
                <w:sz w:val="14"/>
              </w:rPr>
              <w:t>0.02</w:t>
            </w:r>
          </w:p>
        </w:tc>
      </w:tr>
      <w:tr>
        <w:tc>
          <w:tcPr>
            <w:tcW w:type="dxa" w:w="1752"/>
            <w:vAlign w:val="center"/>
          </w:tcPr>
          <w:p>
            <w:r>
              <w:rPr>
                <w:sz w:val="14"/>
              </w:rPr>
              <w:t>Rugby</w:t>
            </w:r>
          </w:p>
        </w:tc>
        <w:tc>
          <w:tcPr>
            <w:tcW w:type="dxa" w:w="1752"/>
            <w:vAlign w:val="center"/>
          </w:tcPr>
          <w:p>
            <w:r>
              <w:rPr>
                <w:sz w:val="14"/>
              </w:rPr>
              <w:t>Rs.3,000</w:t>
            </w:r>
          </w:p>
        </w:tc>
        <w:tc>
          <w:tcPr>
            <w:tcW w:type="dxa" w:w="1752"/>
            <w:vAlign w:val="center"/>
          </w:tcPr>
          <w:p>
            <w:r>
              <w:rPr>
                <w:sz w:val="14"/>
              </w:rPr>
              <w:t>80</w:t>
            </w:r>
          </w:p>
        </w:tc>
        <w:tc>
          <w:tcPr>
            <w:tcW w:type="dxa" w:w="1752"/>
            <w:vAlign w:val="center"/>
          </w:tcPr>
          <w:p>
            <w:r>
              <w:rPr>
                <w:sz w:val="14"/>
              </w:rPr>
              <w:t>0.29</w:t>
            </w:r>
          </w:p>
        </w:tc>
        <w:tc>
          <w:tcPr>
            <w:tcW w:type="dxa" w:w="1752"/>
            <w:vAlign w:val="center"/>
          </w:tcPr>
          <w:p>
            <w:r>
              <w:rPr>
                <w:sz w:val="14"/>
              </w:rPr>
              <w:t>0.16</w:t>
            </w:r>
          </w:p>
        </w:tc>
        <w:tc>
          <w:tcPr>
            <w:tcW w:type="dxa" w:w="1752"/>
            <w:vAlign w:val="center"/>
          </w:tcPr>
          <w:p>
            <w:r>
              <w:rPr>
                <w:sz w:val="14"/>
              </w:rPr>
              <w:t>0.13</w:t>
            </w:r>
          </w:p>
        </w:tc>
      </w:tr>
      <w:tr>
        <w:tc>
          <w:tcPr>
            <w:tcW w:type="dxa" w:w="1752"/>
            <w:vAlign w:val="center"/>
          </w:tcPr>
          <w:p>
            <w:r>
              <w:rPr>
                <w:sz w:val="14"/>
              </w:rPr>
              <w:t>Sailing</w:t>
            </w:r>
          </w:p>
        </w:tc>
        <w:tc>
          <w:tcPr>
            <w:tcW w:type="dxa" w:w="1752"/>
            <w:vAlign w:val="center"/>
          </w:tcPr>
          <w:p>
            <w:r>
              <w:rPr>
                <w:sz w:val="14"/>
              </w:rPr>
              <w:t>Rs.7,000</w:t>
            </w:r>
          </w:p>
        </w:tc>
        <w:tc>
          <w:tcPr>
            <w:tcW w:type="dxa" w:w="1752"/>
            <w:vAlign w:val="center"/>
          </w:tcPr>
          <w:p>
            <w:r>
              <w:rPr>
                <w:sz w:val="14"/>
              </w:rPr>
              <w:t>25</w:t>
            </w:r>
          </w:p>
        </w:tc>
        <w:tc>
          <w:tcPr>
            <w:tcW w:type="dxa" w:w="1752"/>
            <w:vAlign w:val="center"/>
          </w:tcPr>
          <w:p>
            <w:r>
              <w:rPr>
                <w:sz w:val="14"/>
              </w:rPr>
              <w:t>0.05</w:t>
            </w:r>
          </w:p>
        </w:tc>
        <w:tc>
          <w:tcPr>
            <w:tcW w:type="dxa" w:w="1752"/>
            <w:vAlign w:val="center"/>
          </w:tcPr>
          <w:p>
            <w:r>
              <w:rPr>
                <w:sz w:val="14"/>
              </w:rPr>
              <w:t>0.04</w:t>
            </w:r>
          </w:p>
        </w:tc>
        <w:tc>
          <w:tcPr>
            <w:tcW w:type="dxa" w:w="1752"/>
            <w:vAlign w:val="center"/>
          </w:tcPr>
          <w:p>
            <w:r>
              <w:rPr>
                <w:sz w:val="14"/>
              </w:rPr>
              <w:t>0.01</w:t>
            </w:r>
          </w:p>
        </w:tc>
      </w:tr>
      <w:tr>
        <w:tc>
          <w:tcPr>
            <w:tcW w:type="dxa" w:w="1752"/>
            <w:vAlign w:val="center"/>
          </w:tcPr>
          <w:p>
            <w:r>
              <w:rPr>
                <w:sz w:val="14"/>
              </w:rPr>
              <w:t>Shooting</w:t>
            </w:r>
          </w:p>
        </w:tc>
        <w:tc>
          <w:tcPr>
            <w:tcW w:type="dxa" w:w="1752"/>
            <w:vAlign w:val="center"/>
          </w:tcPr>
          <w:p>
            <w:r>
              <w:rPr>
                <w:sz w:val="14"/>
              </w:rPr>
              <w:t>Rs.4,500</w:t>
            </w:r>
          </w:p>
        </w:tc>
        <w:tc>
          <w:tcPr>
            <w:tcW w:type="dxa" w:w="1752"/>
            <w:vAlign w:val="center"/>
          </w:tcPr>
          <w:p>
            <w:r>
              <w:rPr>
                <w:sz w:val="14"/>
              </w:rPr>
              <w:t>70</w:t>
            </w:r>
          </w:p>
        </w:tc>
        <w:tc>
          <w:tcPr>
            <w:tcW w:type="dxa" w:w="1752"/>
            <w:vAlign w:val="center"/>
          </w:tcPr>
          <w:p>
            <w:r>
              <w:rPr>
                <w:sz w:val="14"/>
              </w:rPr>
              <w:t>0.38</w:t>
            </w:r>
          </w:p>
        </w:tc>
        <w:tc>
          <w:tcPr>
            <w:tcW w:type="dxa" w:w="1752"/>
            <w:vAlign w:val="center"/>
          </w:tcPr>
          <w:p>
            <w:r>
              <w:rPr>
                <w:sz w:val="14"/>
              </w:rPr>
              <w:t>0.23</w:t>
            </w:r>
          </w:p>
        </w:tc>
        <w:tc>
          <w:tcPr>
            <w:tcW w:type="dxa" w:w="1752"/>
            <w:vAlign w:val="center"/>
          </w:tcPr>
          <w:p>
            <w:r>
              <w:rPr>
                <w:sz w:val="14"/>
              </w:rPr>
              <w:t>0.15</w:t>
            </w:r>
          </w:p>
        </w:tc>
      </w:tr>
      <w:tr>
        <w:tc>
          <w:tcPr>
            <w:tcW w:type="dxa" w:w="1752"/>
            <w:vAlign w:val="center"/>
          </w:tcPr>
          <w:p>
            <w:r>
              <w:rPr>
                <w:sz w:val="14"/>
              </w:rPr>
              <w:t>Skateboarding</w:t>
            </w:r>
          </w:p>
        </w:tc>
        <w:tc>
          <w:tcPr>
            <w:tcW w:type="dxa" w:w="1752"/>
            <w:vAlign w:val="center"/>
          </w:tcPr>
          <w:p>
            <w:r>
              <w:rPr>
                <w:sz w:val="14"/>
              </w:rPr>
              <w:t>Rs.3,500</w:t>
            </w:r>
          </w:p>
        </w:tc>
        <w:tc>
          <w:tcPr>
            <w:tcW w:type="dxa" w:w="1752"/>
            <w:vAlign w:val="center"/>
          </w:tcPr>
          <w:p>
            <w:r>
              <w:rPr>
                <w:sz w:val="14"/>
              </w:rPr>
              <w:t>70</w:t>
            </w:r>
          </w:p>
        </w:tc>
        <w:tc>
          <w:tcPr>
            <w:tcW w:type="dxa" w:w="1752"/>
            <w:vAlign w:val="center"/>
          </w:tcPr>
          <w:p>
            <w:r>
              <w:rPr>
                <w:sz w:val="14"/>
              </w:rPr>
              <w:t>0.29</w:t>
            </w:r>
          </w:p>
        </w:tc>
        <w:tc>
          <w:tcPr>
            <w:tcW w:type="dxa" w:w="1752"/>
            <w:vAlign w:val="center"/>
          </w:tcPr>
          <w:p>
            <w:r>
              <w:rPr>
                <w:sz w:val="14"/>
              </w:rPr>
              <w:t>0.16</w:t>
            </w:r>
          </w:p>
        </w:tc>
        <w:tc>
          <w:tcPr>
            <w:tcW w:type="dxa" w:w="1752"/>
            <w:vAlign w:val="center"/>
          </w:tcPr>
          <w:p>
            <w:r>
              <w:rPr>
                <w:sz w:val="14"/>
              </w:rPr>
              <w:t>0.13</w:t>
            </w:r>
          </w:p>
        </w:tc>
      </w:tr>
      <w:tr>
        <w:tc>
          <w:tcPr>
            <w:tcW w:type="dxa" w:w="1752"/>
            <w:vAlign w:val="center"/>
          </w:tcPr>
          <w:p>
            <w:r>
              <w:rPr>
                <w:sz w:val="14"/>
              </w:rPr>
              <w:t>Sport Climbing</w:t>
            </w:r>
          </w:p>
        </w:tc>
        <w:tc>
          <w:tcPr>
            <w:tcW w:type="dxa" w:w="1752"/>
            <w:vAlign w:val="center"/>
          </w:tcPr>
          <w:p>
            <w:r>
              <w:rPr>
                <w:sz w:val="14"/>
              </w:rPr>
              <w:t>Rs.4,500</w:t>
            </w:r>
          </w:p>
        </w:tc>
        <w:tc>
          <w:tcPr>
            <w:tcW w:type="dxa" w:w="1752"/>
            <w:vAlign w:val="center"/>
          </w:tcPr>
          <w:p>
            <w:r>
              <w:rPr>
                <w:sz w:val="14"/>
              </w:rPr>
              <w:t>100</w:t>
            </w:r>
          </w:p>
        </w:tc>
        <w:tc>
          <w:tcPr>
            <w:tcW w:type="dxa" w:w="1752"/>
            <w:vAlign w:val="center"/>
          </w:tcPr>
          <w:p>
            <w:r>
              <w:rPr>
                <w:sz w:val="14"/>
              </w:rPr>
              <w:t>0.54</w:t>
            </w:r>
          </w:p>
        </w:tc>
        <w:tc>
          <w:tcPr>
            <w:tcW w:type="dxa" w:w="1752"/>
            <w:vAlign w:val="center"/>
          </w:tcPr>
          <w:p>
            <w:r>
              <w:rPr>
                <w:sz w:val="14"/>
              </w:rPr>
              <w:t>0.30</w:t>
            </w:r>
          </w:p>
        </w:tc>
        <w:tc>
          <w:tcPr>
            <w:tcW w:type="dxa" w:w="1752"/>
            <w:vAlign w:val="center"/>
          </w:tcPr>
          <w:p>
            <w:r>
              <w:rPr>
                <w:sz w:val="14"/>
              </w:rPr>
              <w:t>0.24</w:t>
            </w:r>
          </w:p>
        </w:tc>
      </w:tr>
    </w:tbl>
    <w:p>
      <w:r>
        <w:br w:type="page"/>
      </w:r>
    </w:p>
    <w:p>
      <w:pPr>
        <w:pStyle w:val="Heading1"/>
      </w:pPr>
      <w:r>
        <w:t>43. Olympic Sports Unit Economics - Part 4</w:t>
      </w:r>
    </w:p>
    <w:p>
      <w:pPr>
        <w:spacing w:after="100"/>
      </w:pPr>
      <w:r>
        <w:t>These are illustrative gross revenues and direct costs at mature utilisation. They are not market forecasts.</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1752"/>
            <w:shd w:fill="18304A"/>
          </w:tcPr>
          <w:p>
            <w:r>
              <w:rPr>
                <w:b/>
                <w:color w:val="FFFFFF"/>
                <w:sz w:val="14"/>
              </w:rPr>
              <w:t>Sport</w:t>
            </w:r>
          </w:p>
        </w:tc>
        <w:tc>
          <w:tcPr>
            <w:tcW w:type="dxa" w:w="1752"/>
            <w:shd w:fill="18304A"/>
          </w:tcPr>
          <w:p>
            <w:r>
              <w:rPr>
                <w:b/>
                <w:color w:val="FFFFFF"/>
                <w:sz w:val="14"/>
              </w:rPr>
              <w:t>Monthly fee</w:t>
            </w:r>
          </w:p>
        </w:tc>
        <w:tc>
          <w:tcPr>
            <w:tcW w:type="dxa" w:w="1752"/>
            <w:shd w:fill="18304A"/>
          </w:tcPr>
          <w:p>
            <w:r>
              <w:rPr>
                <w:b/>
                <w:color w:val="FFFFFF"/>
                <w:sz w:val="14"/>
              </w:rPr>
              <w:t>Avg active</w:t>
            </w:r>
          </w:p>
        </w:tc>
        <w:tc>
          <w:tcPr>
            <w:tcW w:type="dxa" w:w="1752"/>
            <w:shd w:fill="18304A"/>
          </w:tcPr>
          <w:p>
            <w:r>
              <w:rPr>
                <w:b/>
                <w:color w:val="FFFFFF"/>
                <w:sz w:val="14"/>
              </w:rPr>
              <w:t>Revenue Cr</w:t>
            </w:r>
          </w:p>
        </w:tc>
        <w:tc>
          <w:tcPr>
            <w:tcW w:type="dxa" w:w="1752"/>
            <w:shd w:fill="18304A"/>
          </w:tcPr>
          <w:p>
            <w:r>
              <w:rPr>
                <w:b/>
                <w:color w:val="FFFFFF"/>
                <w:sz w:val="14"/>
              </w:rPr>
              <w:t>Direct cost Cr</w:t>
            </w:r>
          </w:p>
        </w:tc>
        <w:tc>
          <w:tcPr>
            <w:tcW w:type="dxa" w:w="1752"/>
            <w:shd w:fill="18304A"/>
          </w:tcPr>
          <w:p>
            <w:r>
              <w:rPr>
                <w:b/>
                <w:color w:val="FFFFFF"/>
                <w:sz w:val="14"/>
              </w:rPr>
              <w:t>Contribution Cr</w:t>
            </w:r>
          </w:p>
        </w:tc>
      </w:tr>
      <w:tr>
        <w:tc>
          <w:tcPr>
            <w:tcW w:type="dxa" w:w="1752"/>
            <w:vAlign w:val="center"/>
          </w:tcPr>
          <w:p>
            <w:r>
              <w:rPr>
                <w:sz w:val="14"/>
              </w:rPr>
              <w:t>Squash</w:t>
            </w:r>
          </w:p>
        </w:tc>
        <w:tc>
          <w:tcPr>
            <w:tcW w:type="dxa" w:w="1752"/>
            <w:vAlign w:val="center"/>
          </w:tcPr>
          <w:p>
            <w:r>
              <w:rPr>
                <w:sz w:val="14"/>
              </w:rPr>
              <w:t>Rs.4,500</w:t>
            </w:r>
          </w:p>
        </w:tc>
        <w:tc>
          <w:tcPr>
            <w:tcW w:type="dxa" w:w="1752"/>
            <w:vAlign w:val="center"/>
          </w:tcPr>
          <w:p>
            <w:r>
              <w:rPr>
                <w:sz w:val="14"/>
              </w:rPr>
              <w:t>80</w:t>
            </w:r>
          </w:p>
        </w:tc>
        <w:tc>
          <w:tcPr>
            <w:tcW w:type="dxa" w:w="1752"/>
            <w:vAlign w:val="center"/>
          </w:tcPr>
          <w:p>
            <w:r>
              <w:rPr>
                <w:sz w:val="14"/>
              </w:rPr>
              <w:t>0.43</w:t>
            </w:r>
          </w:p>
        </w:tc>
        <w:tc>
          <w:tcPr>
            <w:tcW w:type="dxa" w:w="1752"/>
            <w:vAlign w:val="center"/>
          </w:tcPr>
          <w:p>
            <w:r>
              <w:rPr>
                <w:sz w:val="14"/>
              </w:rPr>
              <w:t>0.22</w:t>
            </w:r>
          </w:p>
        </w:tc>
        <w:tc>
          <w:tcPr>
            <w:tcW w:type="dxa" w:w="1752"/>
            <w:vAlign w:val="center"/>
          </w:tcPr>
          <w:p>
            <w:r>
              <w:rPr>
                <w:sz w:val="14"/>
              </w:rPr>
              <w:t>0.22</w:t>
            </w:r>
          </w:p>
        </w:tc>
      </w:tr>
      <w:tr>
        <w:tc>
          <w:tcPr>
            <w:tcW w:type="dxa" w:w="1752"/>
            <w:vAlign w:val="center"/>
          </w:tcPr>
          <w:p>
            <w:r>
              <w:rPr>
                <w:sz w:val="14"/>
              </w:rPr>
              <w:t>Surfing</w:t>
            </w:r>
          </w:p>
        </w:tc>
        <w:tc>
          <w:tcPr>
            <w:tcW w:type="dxa" w:w="1752"/>
            <w:vAlign w:val="center"/>
          </w:tcPr>
          <w:p>
            <w:r>
              <w:rPr>
                <w:sz w:val="14"/>
              </w:rPr>
              <w:t>Rs.8,000</w:t>
            </w:r>
          </w:p>
        </w:tc>
        <w:tc>
          <w:tcPr>
            <w:tcW w:type="dxa" w:w="1752"/>
            <w:vAlign w:val="center"/>
          </w:tcPr>
          <w:p>
            <w:r>
              <w:rPr>
                <w:sz w:val="14"/>
              </w:rPr>
              <w:t>20</w:t>
            </w:r>
          </w:p>
        </w:tc>
        <w:tc>
          <w:tcPr>
            <w:tcW w:type="dxa" w:w="1752"/>
            <w:vAlign w:val="center"/>
          </w:tcPr>
          <w:p>
            <w:r>
              <w:rPr>
                <w:sz w:val="14"/>
              </w:rPr>
              <w:t>0.03</w:t>
            </w:r>
          </w:p>
        </w:tc>
        <w:tc>
          <w:tcPr>
            <w:tcW w:type="dxa" w:w="1752"/>
            <w:vAlign w:val="center"/>
          </w:tcPr>
          <w:p>
            <w:r>
              <w:rPr>
                <w:sz w:val="14"/>
              </w:rPr>
              <w:t>0.03</w:t>
            </w:r>
          </w:p>
        </w:tc>
        <w:tc>
          <w:tcPr>
            <w:tcW w:type="dxa" w:w="1752"/>
            <w:vAlign w:val="center"/>
          </w:tcPr>
          <w:p>
            <w:r>
              <w:rPr>
                <w:sz w:val="14"/>
              </w:rPr>
              <w:t>0.00</w:t>
            </w:r>
          </w:p>
        </w:tc>
      </w:tr>
      <w:tr>
        <w:tc>
          <w:tcPr>
            <w:tcW w:type="dxa" w:w="1752"/>
            <w:vAlign w:val="center"/>
          </w:tcPr>
          <w:p>
            <w:r>
              <w:rPr>
                <w:sz w:val="14"/>
              </w:rPr>
              <w:t>Table Tennis</w:t>
            </w:r>
          </w:p>
        </w:tc>
        <w:tc>
          <w:tcPr>
            <w:tcW w:type="dxa" w:w="1752"/>
            <w:vAlign w:val="center"/>
          </w:tcPr>
          <w:p>
            <w:r>
              <w:rPr>
                <w:sz w:val="14"/>
              </w:rPr>
              <w:t>Rs.3,000</w:t>
            </w:r>
          </w:p>
        </w:tc>
        <w:tc>
          <w:tcPr>
            <w:tcW w:type="dxa" w:w="1752"/>
            <w:vAlign w:val="center"/>
          </w:tcPr>
          <w:p>
            <w:r>
              <w:rPr>
                <w:sz w:val="14"/>
              </w:rPr>
              <w:t>120</w:t>
            </w:r>
          </w:p>
        </w:tc>
        <w:tc>
          <w:tcPr>
            <w:tcW w:type="dxa" w:w="1752"/>
            <w:vAlign w:val="center"/>
          </w:tcPr>
          <w:p>
            <w:r>
              <w:rPr>
                <w:sz w:val="14"/>
              </w:rPr>
              <w:t>0.43</w:t>
            </w:r>
          </w:p>
        </w:tc>
        <w:tc>
          <w:tcPr>
            <w:tcW w:type="dxa" w:w="1752"/>
            <w:vAlign w:val="center"/>
          </w:tcPr>
          <w:p>
            <w:r>
              <w:rPr>
                <w:sz w:val="14"/>
              </w:rPr>
              <w:t>0.19</w:t>
            </w:r>
          </w:p>
        </w:tc>
        <w:tc>
          <w:tcPr>
            <w:tcW w:type="dxa" w:w="1752"/>
            <w:vAlign w:val="center"/>
          </w:tcPr>
          <w:p>
            <w:r>
              <w:rPr>
                <w:sz w:val="14"/>
              </w:rPr>
              <w:t>0.24</w:t>
            </w:r>
          </w:p>
        </w:tc>
      </w:tr>
      <w:tr>
        <w:tc>
          <w:tcPr>
            <w:tcW w:type="dxa" w:w="1752"/>
            <w:vAlign w:val="center"/>
          </w:tcPr>
          <w:p>
            <w:r>
              <w:rPr>
                <w:sz w:val="14"/>
              </w:rPr>
              <w:t>Taekwondo</w:t>
            </w:r>
          </w:p>
        </w:tc>
        <w:tc>
          <w:tcPr>
            <w:tcW w:type="dxa" w:w="1752"/>
            <w:vAlign w:val="center"/>
          </w:tcPr>
          <w:p>
            <w:r>
              <w:rPr>
                <w:sz w:val="14"/>
              </w:rPr>
              <w:t>Rs.3,000</w:t>
            </w:r>
          </w:p>
        </w:tc>
        <w:tc>
          <w:tcPr>
            <w:tcW w:type="dxa" w:w="1752"/>
            <w:vAlign w:val="center"/>
          </w:tcPr>
          <w:p>
            <w:r>
              <w:rPr>
                <w:sz w:val="14"/>
              </w:rPr>
              <w:t>100</w:t>
            </w:r>
          </w:p>
        </w:tc>
        <w:tc>
          <w:tcPr>
            <w:tcW w:type="dxa" w:w="1752"/>
            <w:vAlign w:val="center"/>
          </w:tcPr>
          <w:p>
            <w:r>
              <w:rPr>
                <w:sz w:val="14"/>
              </w:rPr>
              <w:t>0.36</w:t>
            </w:r>
          </w:p>
        </w:tc>
        <w:tc>
          <w:tcPr>
            <w:tcW w:type="dxa" w:w="1752"/>
            <w:vAlign w:val="center"/>
          </w:tcPr>
          <w:p>
            <w:r>
              <w:rPr>
                <w:sz w:val="14"/>
              </w:rPr>
              <w:t>0.20</w:t>
            </w:r>
          </w:p>
        </w:tc>
        <w:tc>
          <w:tcPr>
            <w:tcW w:type="dxa" w:w="1752"/>
            <w:vAlign w:val="center"/>
          </w:tcPr>
          <w:p>
            <w:r>
              <w:rPr>
                <w:sz w:val="14"/>
              </w:rPr>
              <w:t>0.16</w:t>
            </w:r>
          </w:p>
        </w:tc>
      </w:tr>
      <w:tr>
        <w:tc>
          <w:tcPr>
            <w:tcW w:type="dxa" w:w="1752"/>
            <w:vAlign w:val="center"/>
          </w:tcPr>
          <w:p>
            <w:r>
              <w:rPr>
                <w:sz w:val="14"/>
              </w:rPr>
              <w:t>Tennis</w:t>
            </w:r>
          </w:p>
        </w:tc>
        <w:tc>
          <w:tcPr>
            <w:tcW w:type="dxa" w:w="1752"/>
            <w:vAlign w:val="center"/>
          </w:tcPr>
          <w:p>
            <w:r>
              <w:rPr>
                <w:sz w:val="14"/>
              </w:rPr>
              <w:t>Rs.4,500</w:t>
            </w:r>
          </w:p>
        </w:tc>
        <w:tc>
          <w:tcPr>
            <w:tcW w:type="dxa" w:w="1752"/>
            <w:vAlign w:val="center"/>
          </w:tcPr>
          <w:p>
            <w:r>
              <w:rPr>
                <w:sz w:val="14"/>
              </w:rPr>
              <w:t>120</w:t>
            </w:r>
          </w:p>
        </w:tc>
        <w:tc>
          <w:tcPr>
            <w:tcW w:type="dxa" w:w="1752"/>
            <w:vAlign w:val="center"/>
          </w:tcPr>
          <w:p>
            <w:r>
              <w:rPr>
                <w:sz w:val="14"/>
              </w:rPr>
              <w:t>0.65</w:t>
            </w:r>
          </w:p>
        </w:tc>
        <w:tc>
          <w:tcPr>
            <w:tcW w:type="dxa" w:w="1752"/>
            <w:vAlign w:val="center"/>
          </w:tcPr>
          <w:p>
            <w:r>
              <w:rPr>
                <w:sz w:val="14"/>
              </w:rPr>
              <w:t>0.32</w:t>
            </w:r>
          </w:p>
        </w:tc>
        <w:tc>
          <w:tcPr>
            <w:tcW w:type="dxa" w:w="1752"/>
            <w:vAlign w:val="center"/>
          </w:tcPr>
          <w:p>
            <w:r>
              <w:rPr>
                <w:sz w:val="14"/>
              </w:rPr>
              <w:t>0.32</w:t>
            </w:r>
          </w:p>
        </w:tc>
      </w:tr>
      <w:tr>
        <w:tc>
          <w:tcPr>
            <w:tcW w:type="dxa" w:w="1752"/>
            <w:vAlign w:val="center"/>
          </w:tcPr>
          <w:p>
            <w:r>
              <w:rPr>
                <w:sz w:val="14"/>
              </w:rPr>
              <w:t>Triathlon</w:t>
            </w:r>
          </w:p>
        </w:tc>
        <w:tc>
          <w:tcPr>
            <w:tcW w:type="dxa" w:w="1752"/>
            <w:vAlign w:val="center"/>
          </w:tcPr>
          <w:p>
            <w:r>
              <w:rPr>
                <w:sz w:val="14"/>
              </w:rPr>
              <w:t>Rs.5,000</w:t>
            </w:r>
          </w:p>
        </w:tc>
        <w:tc>
          <w:tcPr>
            <w:tcW w:type="dxa" w:w="1752"/>
            <w:vAlign w:val="center"/>
          </w:tcPr>
          <w:p>
            <w:r>
              <w:rPr>
                <w:sz w:val="14"/>
              </w:rPr>
              <w:t>50</w:t>
            </w:r>
          </w:p>
        </w:tc>
        <w:tc>
          <w:tcPr>
            <w:tcW w:type="dxa" w:w="1752"/>
            <w:vAlign w:val="center"/>
          </w:tcPr>
          <w:p>
            <w:r>
              <w:rPr>
                <w:sz w:val="14"/>
              </w:rPr>
              <w:t>0.11</w:t>
            </w:r>
          </w:p>
        </w:tc>
        <w:tc>
          <w:tcPr>
            <w:tcW w:type="dxa" w:w="1752"/>
            <w:vAlign w:val="center"/>
          </w:tcPr>
          <w:p>
            <w:r>
              <w:rPr>
                <w:sz w:val="14"/>
              </w:rPr>
              <w:t>0.08</w:t>
            </w:r>
          </w:p>
        </w:tc>
        <w:tc>
          <w:tcPr>
            <w:tcW w:type="dxa" w:w="1752"/>
            <w:vAlign w:val="center"/>
          </w:tcPr>
          <w:p>
            <w:r>
              <w:rPr>
                <w:sz w:val="14"/>
              </w:rPr>
              <w:t>0.03</w:t>
            </w:r>
          </w:p>
        </w:tc>
      </w:tr>
      <w:tr>
        <w:tc>
          <w:tcPr>
            <w:tcW w:type="dxa" w:w="1752"/>
            <w:vAlign w:val="center"/>
          </w:tcPr>
          <w:p>
            <w:r>
              <w:rPr>
                <w:sz w:val="14"/>
              </w:rPr>
              <w:t>Volleyball</w:t>
            </w:r>
          </w:p>
        </w:tc>
        <w:tc>
          <w:tcPr>
            <w:tcW w:type="dxa" w:w="1752"/>
            <w:vAlign w:val="center"/>
          </w:tcPr>
          <w:p>
            <w:r>
              <w:rPr>
                <w:sz w:val="14"/>
              </w:rPr>
              <w:t>Rs.3,000</w:t>
            </w:r>
          </w:p>
        </w:tc>
        <w:tc>
          <w:tcPr>
            <w:tcW w:type="dxa" w:w="1752"/>
            <w:vAlign w:val="center"/>
          </w:tcPr>
          <w:p>
            <w:r>
              <w:rPr>
                <w:sz w:val="14"/>
              </w:rPr>
              <w:t>100</w:t>
            </w:r>
          </w:p>
        </w:tc>
        <w:tc>
          <w:tcPr>
            <w:tcW w:type="dxa" w:w="1752"/>
            <w:vAlign w:val="center"/>
          </w:tcPr>
          <w:p>
            <w:r>
              <w:rPr>
                <w:sz w:val="14"/>
              </w:rPr>
              <w:t>0.36</w:t>
            </w:r>
          </w:p>
        </w:tc>
        <w:tc>
          <w:tcPr>
            <w:tcW w:type="dxa" w:w="1752"/>
            <w:vAlign w:val="center"/>
          </w:tcPr>
          <w:p>
            <w:r>
              <w:rPr>
                <w:sz w:val="14"/>
              </w:rPr>
              <w:t>0.18</w:t>
            </w:r>
          </w:p>
        </w:tc>
        <w:tc>
          <w:tcPr>
            <w:tcW w:type="dxa" w:w="1752"/>
            <w:vAlign w:val="center"/>
          </w:tcPr>
          <w:p>
            <w:r>
              <w:rPr>
                <w:sz w:val="14"/>
              </w:rPr>
              <w:t>0.18</w:t>
            </w:r>
          </w:p>
        </w:tc>
      </w:tr>
      <w:tr>
        <w:tc>
          <w:tcPr>
            <w:tcW w:type="dxa" w:w="1752"/>
            <w:vAlign w:val="center"/>
          </w:tcPr>
          <w:p>
            <w:r>
              <w:rPr>
                <w:sz w:val="14"/>
              </w:rPr>
              <w:t>Weightlifting</w:t>
            </w:r>
          </w:p>
        </w:tc>
        <w:tc>
          <w:tcPr>
            <w:tcW w:type="dxa" w:w="1752"/>
            <w:vAlign w:val="center"/>
          </w:tcPr>
          <w:p>
            <w:r>
              <w:rPr>
                <w:sz w:val="14"/>
              </w:rPr>
              <w:t>Rs.3,500</w:t>
            </w:r>
          </w:p>
        </w:tc>
        <w:tc>
          <w:tcPr>
            <w:tcW w:type="dxa" w:w="1752"/>
            <w:vAlign w:val="center"/>
          </w:tcPr>
          <w:p>
            <w:r>
              <w:rPr>
                <w:sz w:val="14"/>
              </w:rPr>
              <w:t>50</w:t>
            </w:r>
          </w:p>
        </w:tc>
        <w:tc>
          <w:tcPr>
            <w:tcW w:type="dxa" w:w="1752"/>
            <w:vAlign w:val="center"/>
          </w:tcPr>
          <w:p>
            <w:r>
              <w:rPr>
                <w:sz w:val="14"/>
              </w:rPr>
              <w:t>0.21</w:t>
            </w:r>
          </w:p>
        </w:tc>
        <w:tc>
          <w:tcPr>
            <w:tcW w:type="dxa" w:w="1752"/>
            <w:vAlign w:val="center"/>
          </w:tcPr>
          <w:p>
            <w:r>
              <w:rPr>
                <w:sz w:val="14"/>
              </w:rPr>
              <w:t>0.12</w:t>
            </w:r>
          </w:p>
        </w:tc>
        <w:tc>
          <w:tcPr>
            <w:tcW w:type="dxa" w:w="1752"/>
            <w:vAlign w:val="center"/>
          </w:tcPr>
          <w:p>
            <w:r>
              <w:rPr>
                <w:sz w:val="14"/>
              </w:rPr>
              <w:t>0.09</w:t>
            </w:r>
          </w:p>
        </w:tc>
      </w:tr>
      <w:tr>
        <w:tc>
          <w:tcPr>
            <w:tcW w:type="dxa" w:w="1752"/>
            <w:vAlign w:val="center"/>
          </w:tcPr>
          <w:p>
            <w:r>
              <w:rPr>
                <w:sz w:val="14"/>
              </w:rPr>
              <w:t>Wrestling</w:t>
            </w:r>
          </w:p>
        </w:tc>
        <w:tc>
          <w:tcPr>
            <w:tcW w:type="dxa" w:w="1752"/>
            <w:vAlign w:val="center"/>
          </w:tcPr>
          <w:p>
            <w:r>
              <w:rPr>
                <w:sz w:val="14"/>
              </w:rPr>
              <w:t>Rs.3,000</w:t>
            </w:r>
          </w:p>
        </w:tc>
        <w:tc>
          <w:tcPr>
            <w:tcW w:type="dxa" w:w="1752"/>
            <w:vAlign w:val="center"/>
          </w:tcPr>
          <w:p>
            <w:r>
              <w:rPr>
                <w:sz w:val="14"/>
              </w:rPr>
              <w:t>80</w:t>
            </w:r>
          </w:p>
        </w:tc>
        <w:tc>
          <w:tcPr>
            <w:tcW w:type="dxa" w:w="1752"/>
            <w:vAlign w:val="center"/>
          </w:tcPr>
          <w:p>
            <w:r>
              <w:rPr>
                <w:sz w:val="14"/>
              </w:rPr>
              <w:t>0.29</w:t>
            </w:r>
          </w:p>
        </w:tc>
        <w:tc>
          <w:tcPr>
            <w:tcW w:type="dxa" w:w="1752"/>
            <w:vAlign w:val="center"/>
          </w:tcPr>
          <w:p>
            <w:r>
              <w:rPr>
                <w:sz w:val="14"/>
              </w:rPr>
              <w:t>0.16</w:t>
            </w:r>
          </w:p>
        </w:tc>
        <w:tc>
          <w:tcPr>
            <w:tcW w:type="dxa" w:w="1752"/>
            <w:vAlign w:val="center"/>
          </w:tcPr>
          <w:p>
            <w:r>
              <w:rPr>
                <w:sz w:val="14"/>
              </w:rPr>
              <w:t>0.13</w:t>
            </w:r>
          </w:p>
        </w:tc>
      </w:tr>
    </w:tbl>
    <w:p>
      <w:r>
        <w:br w:type="page"/>
      </w:r>
    </w:p>
    <w:p>
      <w:pPr>
        <w:pStyle w:val="Heading1"/>
      </w:pPr>
      <w:r>
        <w:t>44. Consolidated Mature Operating Economics</w:t>
      </w:r>
    </w:p>
    <w:p>
      <w:pPr>
        <w:spacing w:after="100"/>
      </w:pPr>
      <w:r>
        <w:t>The current mature model produces about Rs.53.4 Cr annual operating revenue before financing. Loaded payroll is approximately Rs.11.66 Cr and other operating plus overhead costs are approximately Rs.15.2 Cr, producing an illustrative operating EBITDA of about Rs.26.55 Cr before interest, depreciation and tax.</w:t>
      </w:r>
    </w:p>
    <w:p>
      <w:pPr>
        <w:spacing w:after="100"/>
      </w:pPr>
      <w:r>
        <w:t>This level of cash generation may support a meaningful operating business, but it is not sufficient for the requested Rs.650 Cr debt structure.</w:t>
      </w:r>
    </w:p>
    <w:tbl>
      <w:tblPr>
        <w:tblStyle w:val="TableGrid"/>
        <w:tblW w:type="auto" w:w="0"/>
        <w:jc w:val="center"/>
        <w:tblLook w:firstColumn="1" w:firstRow="1" w:lastColumn="0" w:lastRow="0" w:noHBand="0" w:noVBand="1" w:val="04A0"/>
      </w:tblPr>
      <w:tblGrid>
        <w:gridCol w:w="5256"/>
        <w:gridCol w:w="5256"/>
      </w:tblGrid>
      <w:tr>
        <w:tc>
          <w:tcPr>
            <w:tcW w:type="dxa" w:w="5256"/>
            <w:shd w:fill="18304A"/>
          </w:tcPr>
          <w:p>
            <w:r>
              <w:rPr>
                <w:b/>
                <w:color w:val="FFFFFF"/>
                <w:sz w:val="14"/>
              </w:rPr>
              <w:t>Metric</w:t>
            </w:r>
          </w:p>
        </w:tc>
        <w:tc>
          <w:tcPr>
            <w:tcW w:type="dxa" w:w="5256"/>
            <w:shd w:fill="18304A"/>
          </w:tcPr>
          <w:p>
            <w:r>
              <w:rPr>
                <w:b/>
                <w:color w:val="FFFFFF"/>
                <w:sz w:val="14"/>
              </w:rPr>
              <w:t>Illustrative mature value</w:t>
            </w:r>
          </w:p>
        </w:tc>
      </w:tr>
      <w:tr>
        <w:tc>
          <w:tcPr>
            <w:tcW w:type="dxa" w:w="5256"/>
            <w:vAlign w:val="center"/>
          </w:tcPr>
          <w:p>
            <w:r>
              <w:rPr>
                <w:sz w:val="14"/>
              </w:rPr>
              <w:t>Revenue</w:t>
            </w:r>
          </w:p>
        </w:tc>
        <w:tc>
          <w:tcPr>
            <w:tcW w:type="dxa" w:w="5256"/>
            <w:vAlign w:val="center"/>
          </w:tcPr>
          <w:p>
            <w:r>
              <w:rPr>
                <w:sz w:val="14"/>
              </w:rPr>
              <w:t>Rs.53.41 Cr</w:t>
            </w:r>
          </w:p>
        </w:tc>
      </w:tr>
      <w:tr>
        <w:tc>
          <w:tcPr>
            <w:tcW w:type="dxa" w:w="5256"/>
            <w:vAlign w:val="center"/>
          </w:tcPr>
          <w:p>
            <w:r>
              <w:rPr>
                <w:sz w:val="14"/>
              </w:rPr>
              <w:t>Loaded payroll</w:t>
            </w:r>
          </w:p>
        </w:tc>
        <w:tc>
          <w:tcPr>
            <w:tcW w:type="dxa" w:w="5256"/>
            <w:vAlign w:val="center"/>
          </w:tcPr>
          <w:p>
            <w:r>
              <w:rPr>
                <w:sz w:val="14"/>
              </w:rPr>
              <w:t>Rs.11.66 Cr</w:t>
            </w:r>
          </w:p>
        </w:tc>
      </w:tr>
      <w:tr>
        <w:tc>
          <w:tcPr>
            <w:tcW w:type="dxa" w:w="5256"/>
            <w:vAlign w:val="center"/>
          </w:tcPr>
          <w:p>
            <w:r>
              <w:rPr>
                <w:sz w:val="14"/>
              </w:rPr>
              <w:t>Other operating + overhead</w:t>
            </w:r>
          </w:p>
        </w:tc>
        <w:tc>
          <w:tcPr>
            <w:tcW w:type="dxa" w:w="5256"/>
            <w:vAlign w:val="center"/>
          </w:tcPr>
          <w:p>
            <w:r>
              <w:rPr>
                <w:sz w:val="14"/>
              </w:rPr>
              <w:t>Rs.15.20 Cr</w:t>
            </w:r>
          </w:p>
        </w:tc>
      </w:tr>
      <w:tr>
        <w:tc>
          <w:tcPr>
            <w:tcW w:type="dxa" w:w="5256"/>
            <w:vAlign w:val="center"/>
          </w:tcPr>
          <w:p>
            <w:r>
              <w:rPr>
                <w:sz w:val="14"/>
              </w:rPr>
              <w:t>Operating EBITDA</w:t>
            </w:r>
          </w:p>
        </w:tc>
        <w:tc>
          <w:tcPr>
            <w:tcW w:type="dxa" w:w="5256"/>
            <w:vAlign w:val="center"/>
          </w:tcPr>
          <w:p>
            <w:r>
              <w:rPr>
                <w:sz w:val="14"/>
              </w:rPr>
              <w:t>Rs.26.55 Cr</w:t>
            </w:r>
          </w:p>
        </w:tc>
      </w:tr>
    </w:tbl>
    <w:p>
      <w:r>
        <w:br w:type="page"/>
      </w:r>
    </w:p>
    <w:p>
      <w:pPr>
        <w:pStyle w:val="Heading1"/>
      </w:pPr>
      <w:r>
        <w:t>45. 10-Year Operating Case</w:t>
      </w:r>
    </w:p>
    <w:p>
      <w:pPr>
        <w:spacing w:after="100"/>
      </w:pPr>
      <w:r>
        <w:t>The pro case is deliberately more conservative than the earlier concept. It assumes a multi-year ramp of sports, after-school, academic, membership and B2B services.</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2628"/>
            <w:shd w:fill="18304A"/>
          </w:tcPr>
          <w:p>
            <w:r>
              <w:rPr>
                <w:b/>
                <w:color w:val="FFFFFF"/>
                <w:sz w:val="14"/>
              </w:rPr>
              <w:t>Year</w:t>
            </w:r>
          </w:p>
        </w:tc>
        <w:tc>
          <w:tcPr>
            <w:tcW w:type="dxa" w:w="2628"/>
            <w:shd w:fill="18304A"/>
          </w:tcPr>
          <w:p>
            <w:r>
              <w:rPr>
                <w:b/>
                <w:color w:val="FFFFFF"/>
                <w:sz w:val="14"/>
              </w:rPr>
              <w:t>Revenue Cr</w:t>
            </w:r>
          </w:p>
        </w:tc>
        <w:tc>
          <w:tcPr>
            <w:tcW w:type="dxa" w:w="2628"/>
            <w:shd w:fill="18304A"/>
          </w:tcPr>
          <w:p>
            <w:r>
              <w:rPr>
                <w:b/>
                <w:color w:val="FFFFFF"/>
                <w:sz w:val="14"/>
              </w:rPr>
              <w:t>Operating cost Cr</w:t>
            </w:r>
          </w:p>
        </w:tc>
        <w:tc>
          <w:tcPr>
            <w:tcW w:type="dxa" w:w="2628"/>
            <w:shd w:fill="18304A"/>
          </w:tcPr>
          <w:p>
            <w:r>
              <w:rPr>
                <w:b/>
                <w:color w:val="FFFFFF"/>
                <w:sz w:val="14"/>
              </w:rPr>
              <w:t>EBITDA Cr</w:t>
            </w:r>
          </w:p>
        </w:tc>
      </w:tr>
      <w:tr>
        <w:tc>
          <w:tcPr>
            <w:tcW w:type="dxa" w:w="2628"/>
            <w:vAlign w:val="center"/>
          </w:tcPr>
          <w:p>
            <w:r>
              <w:t>1</w:t>
            </w:r>
          </w:p>
        </w:tc>
        <w:tc>
          <w:tcPr>
            <w:tcW w:type="dxa" w:w="2628"/>
            <w:vAlign w:val="center"/>
          </w:tcPr>
          <w:p>
            <w:r>
              <w:t>6</w:t>
            </w:r>
          </w:p>
        </w:tc>
        <w:tc>
          <w:tcPr>
            <w:tcW w:type="dxa" w:w="2628"/>
            <w:vAlign w:val="center"/>
          </w:tcPr>
          <w:p>
            <w:r>
              <w:t>10</w:t>
            </w:r>
          </w:p>
        </w:tc>
        <w:tc>
          <w:tcPr>
            <w:tcW w:type="dxa" w:w="2628"/>
            <w:vAlign w:val="center"/>
          </w:tcPr>
          <w:p>
            <w:r>
              <w:t>-4</w:t>
            </w:r>
          </w:p>
        </w:tc>
      </w:tr>
      <w:tr>
        <w:tc>
          <w:tcPr>
            <w:tcW w:type="dxa" w:w="2628"/>
            <w:vAlign w:val="center"/>
          </w:tcPr>
          <w:p>
            <w:r>
              <w:t>2</w:t>
            </w:r>
          </w:p>
        </w:tc>
        <w:tc>
          <w:tcPr>
            <w:tcW w:type="dxa" w:w="2628"/>
            <w:vAlign w:val="center"/>
          </w:tcPr>
          <w:p>
            <w:r>
              <w:t>11</w:t>
            </w:r>
          </w:p>
        </w:tc>
        <w:tc>
          <w:tcPr>
            <w:tcW w:type="dxa" w:w="2628"/>
            <w:vAlign w:val="center"/>
          </w:tcPr>
          <w:p>
            <w:r>
              <w:t>13</w:t>
            </w:r>
          </w:p>
        </w:tc>
        <w:tc>
          <w:tcPr>
            <w:tcW w:type="dxa" w:w="2628"/>
            <w:vAlign w:val="center"/>
          </w:tcPr>
          <w:p>
            <w:r>
              <w:t>-2</w:t>
            </w:r>
          </w:p>
        </w:tc>
      </w:tr>
      <w:tr>
        <w:tc>
          <w:tcPr>
            <w:tcW w:type="dxa" w:w="2628"/>
            <w:vAlign w:val="center"/>
          </w:tcPr>
          <w:p>
            <w:r>
              <w:t>3</w:t>
            </w:r>
          </w:p>
        </w:tc>
        <w:tc>
          <w:tcPr>
            <w:tcW w:type="dxa" w:w="2628"/>
            <w:vAlign w:val="center"/>
          </w:tcPr>
          <w:p>
            <w:r>
              <w:t>18</w:t>
            </w:r>
          </w:p>
        </w:tc>
        <w:tc>
          <w:tcPr>
            <w:tcW w:type="dxa" w:w="2628"/>
            <w:vAlign w:val="center"/>
          </w:tcPr>
          <w:p>
            <w:r>
              <w:t>16</w:t>
            </w:r>
          </w:p>
        </w:tc>
        <w:tc>
          <w:tcPr>
            <w:tcW w:type="dxa" w:w="2628"/>
            <w:vAlign w:val="center"/>
          </w:tcPr>
          <w:p>
            <w:r>
              <w:t>2</w:t>
            </w:r>
          </w:p>
        </w:tc>
      </w:tr>
      <w:tr>
        <w:tc>
          <w:tcPr>
            <w:tcW w:type="dxa" w:w="2628"/>
            <w:vAlign w:val="center"/>
          </w:tcPr>
          <w:p>
            <w:r>
              <w:t>4</w:t>
            </w:r>
          </w:p>
        </w:tc>
        <w:tc>
          <w:tcPr>
            <w:tcW w:type="dxa" w:w="2628"/>
            <w:vAlign w:val="center"/>
          </w:tcPr>
          <w:p>
            <w:r>
              <w:t>25</w:t>
            </w:r>
          </w:p>
        </w:tc>
        <w:tc>
          <w:tcPr>
            <w:tcW w:type="dxa" w:w="2628"/>
            <w:vAlign w:val="center"/>
          </w:tcPr>
          <w:p>
            <w:r>
              <w:t>18.5</w:t>
            </w:r>
          </w:p>
        </w:tc>
        <w:tc>
          <w:tcPr>
            <w:tcW w:type="dxa" w:w="2628"/>
            <w:vAlign w:val="center"/>
          </w:tcPr>
          <w:p>
            <w:r>
              <w:t>6.5</w:t>
            </w:r>
          </w:p>
        </w:tc>
      </w:tr>
      <w:tr>
        <w:tc>
          <w:tcPr>
            <w:tcW w:type="dxa" w:w="2628"/>
            <w:vAlign w:val="center"/>
          </w:tcPr>
          <w:p>
            <w:r>
              <w:t>5</w:t>
            </w:r>
          </w:p>
        </w:tc>
        <w:tc>
          <w:tcPr>
            <w:tcW w:type="dxa" w:w="2628"/>
            <w:vAlign w:val="center"/>
          </w:tcPr>
          <w:p>
            <w:r>
              <w:t>32</w:t>
            </w:r>
          </w:p>
        </w:tc>
        <w:tc>
          <w:tcPr>
            <w:tcW w:type="dxa" w:w="2628"/>
            <w:vAlign w:val="center"/>
          </w:tcPr>
          <w:p>
            <w:r>
              <w:t>21</w:t>
            </w:r>
          </w:p>
        </w:tc>
        <w:tc>
          <w:tcPr>
            <w:tcW w:type="dxa" w:w="2628"/>
            <w:vAlign w:val="center"/>
          </w:tcPr>
          <w:p>
            <w:r>
              <w:t>11</w:t>
            </w:r>
          </w:p>
        </w:tc>
      </w:tr>
      <w:tr>
        <w:tc>
          <w:tcPr>
            <w:tcW w:type="dxa" w:w="2628"/>
            <w:vAlign w:val="center"/>
          </w:tcPr>
          <w:p>
            <w:r>
              <w:t>6</w:t>
            </w:r>
          </w:p>
        </w:tc>
        <w:tc>
          <w:tcPr>
            <w:tcW w:type="dxa" w:w="2628"/>
            <w:vAlign w:val="center"/>
          </w:tcPr>
          <w:p>
            <w:r>
              <w:t>38</w:t>
            </w:r>
          </w:p>
        </w:tc>
        <w:tc>
          <w:tcPr>
            <w:tcW w:type="dxa" w:w="2628"/>
            <w:vAlign w:val="center"/>
          </w:tcPr>
          <w:p>
            <w:r>
              <w:t>23</w:t>
            </w:r>
          </w:p>
        </w:tc>
        <w:tc>
          <w:tcPr>
            <w:tcW w:type="dxa" w:w="2628"/>
            <w:vAlign w:val="center"/>
          </w:tcPr>
          <w:p>
            <w:r>
              <w:t>15</w:t>
            </w:r>
          </w:p>
        </w:tc>
      </w:tr>
      <w:tr>
        <w:tc>
          <w:tcPr>
            <w:tcW w:type="dxa" w:w="2628"/>
            <w:vAlign w:val="center"/>
          </w:tcPr>
          <w:p>
            <w:r>
              <w:t>7</w:t>
            </w:r>
          </w:p>
        </w:tc>
        <w:tc>
          <w:tcPr>
            <w:tcW w:type="dxa" w:w="2628"/>
            <w:vAlign w:val="center"/>
          </w:tcPr>
          <w:p>
            <w:r>
              <w:t>43</w:t>
            </w:r>
          </w:p>
        </w:tc>
        <w:tc>
          <w:tcPr>
            <w:tcW w:type="dxa" w:w="2628"/>
            <w:vAlign w:val="center"/>
          </w:tcPr>
          <w:p>
            <w:r>
              <w:t>24.5</w:t>
            </w:r>
          </w:p>
        </w:tc>
        <w:tc>
          <w:tcPr>
            <w:tcW w:type="dxa" w:w="2628"/>
            <w:vAlign w:val="center"/>
          </w:tcPr>
          <w:p>
            <w:r>
              <w:t>18.5</w:t>
            </w:r>
          </w:p>
        </w:tc>
      </w:tr>
      <w:tr>
        <w:tc>
          <w:tcPr>
            <w:tcW w:type="dxa" w:w="2628"/>
            <w:vAlign w:val="center"/>
          </w:tcPr>
          <w:p>
            <w:r>
              <w:t>8</w:t>
            </w:r>
          </w:p>
        </w:tc>
        <w:tc>
          <w:tcPr>
            <w:tcW w:type="dxa" w:w="2628"/>
            <w:vAlign w:val="center"/>
          </w:tcPr>
          <w:p>
            <w:r>
              <w:t>47</w:t>
            </w:r>
          </w:p>
        </w:tc>
        <w:tc>
          <w:tcPr>
            <w:tcW w:type="dxa" w:w="2628"/>
            <w:vAlign w:val="center"/>
          </w:tcPr>
          <w:p>
            <w:r>
              <w:t>25.5</w:t>
            </w:r>
          </w:p>
        </w:tc>
        <w:tc>
          <w:tcPr>
            <w:tcW w:type="dxa" w:w="2628"/>
            <w:vAlign w:val="center"/>
          </w:tcPr>
          <w:p>
            <w:r>
              <w:t>21.5</w:t>
            </w:r>
          </w:p>
        </w:tc>
      </w:tr>
      <w:tr>
        <w:tc>
          <w:tcPr>
            <w:tcW w:type="dxa" w:w="2628"/>
            <w:vAlign w:val="center"/>
          </w:tcPr>
          <w:p>
            <w:r>
              <w:t>9</w:t>
            </w:r>
          </w:p>
        </w:tc>
        <w:tc>
          <w:tcPr>
            <w:tcW w:type="dxa" w:w="2628"/>
            <w:vAlign w:val="center"/>
          </w:tcPr>
          <w:p>
            <w:r>
              <w:t>50</w:t>
            </w:r>
          </w:p>
        </w:tc>
        <w:tc>
          <w:tcPr>
            <w:tcW w:type="dxa" w:w="2628"/>
            <w:vAlign w:val="center"/>
          </w:tcPr>
          <w:p>
            <w:r>
              <w:t>26.2</w:t>
            </w:r>
          </w:p>
        </w:tc>
        <w:tc>
          <w:tcPr>
            <w:tcW w:type="dxa" w:w="2628"/>
            <w:vAlign w:val="center"/>
          </w:tcPr>
          <w:p>
            <w:r>
              <w:t>23.8</w:t>
            </w:r>
          </w:p>
        </w:tc>
      </w:tr>
      <w:tr>
        <w:tc>
          <w:tcPr>
            <w:tcW w:type="dxa" w:w="2628"/>
            <w:vAlign w:val="center"/>
          </w:tcPr>
          <w:p>
            <w:r>
              <w:t>10</w:t>
            </w:r>
          </w:p>
        </w:tc>
        <w:tc>
          <w:tcPr>
            <w:tcW w:type="dxa" w:w="2628"/>
            <w:vAlign w:val="center"/>
          </w:tcPr>
          <w:p>
            <w:r>
              <w:t>53.41</w:t>
            </w:r>
          </w:p>
        </w:tc>
        <w:tc>
          <w:tcPr>
            <w:tcW w:type="dxa" w:w="2628"/>
            <w:vAlign w:val="center"/>
          </w:tcPr>
          <w:p>
            <w:r>
              <w:t>26.86</w:t>
            </w:r>
          </w:p>
        </w:tc>
        <w:tc>
          <w:tcPr>
            <w:tcW w:type="dxa" w:w="2628"/>
            <w:vAlign w:val="center"/>
          </w:tcPr>
          <w:p>
            <w:r>
              <w:t>26.55</w:t>
            </w:r>
          </w:p>
        </w:tc>
      </w:tr>
    </w:tbl>
    <w:p>
      <w:r>
        <w:br w:type="page"/>
      </w:r>
    </w:p>
    <w:p>
      <w:pPr>
        <w:pStyle w:val="Heading1"/>
      </w:pPr>
      <w:r>
        <w:t>46. Break-Even Analysis</w:t>
      </w:r>
    </w:p>
    <w:p>
      <w:pPr>
        <w:spacing w:after="100"/>
      </w:pPr>
      <w:r>
        <w:t>Using an illustrative Rs.14 Cr fixed annual cost base and a 60% contribution margin, the operating revenue break-even is approximately Rs.23.3 Cr. This is an operating break-even only; it excludes the full Rs.650 Cr debt burden.</w:t>
      </w:r>
    </w:p>
    <w:p>
      <w:pPr>
        <w:spacing w:after="100"/>
      </w:pPr>
      <w:r>
        <w:t>Equivalent-family membership calculations are useful as a sensitivity test, but the campus is intentionally diversified across sports, academics, after-school, memberships, rentals, corporate and NGO programmes.</w:t>
      </w:r>
    </w:p>
    <w:p>
      <w:r>
        <w:br w:type="page"/>
      </w:r>
    </w:p>
    <w:p>
      <w:pPr>
        <w:pStyle w:val="Heading1"/>
      </w:pPr>
      <w:r>
        <w:t>47. Rs.650 Cr Debt Stress Test</w:t>
      </w:r>
    </w:p>
    <w:p>
      <w:pPr>
        <w:spacing w:after="100"/>
      </w:pPr>
      <w:r>
        <w:t>The stress case retains the previously requested Rs.500 Cr land loan and Rs.150 Cr development/operations loan. At a 10% illustrative interest rate and equal Rs.65 Cr annual principal repayments over 10 years, Year-1 debt service is Rs.130 Cr.</w:t>
      </w:r>
    </w:p>
    <w:p>
      <w:pPr>
        <w:spacing w:after="100"/>
      </w:pPr>
      <w:r>
        <w:t>Operating EBITDA in the base case is negative in early years and remains far below annual debt service throughout the 10-year period. A lender would therefore require a fundamentally different capital structure or additional cash-generating assets.</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1752"/>
            <w:shd w:fill="18304A"/>
          </w:tcPr>
          <w:p>
            <w:r>
              <w:rPr>
                <w:b/>
                <w:color w:val="FFFFFF"/>
                <w:sz w:val="14"/>
              </w:rPr>
              <w:t>Year</w:t>
            </w:r>
          </w:p>
        </w:tc>
        <w:tc>
          <w:tcPr>
            <w:tcW w:type="dxa" w:w="1752"/>
            <w:shd w:fill="18304A"/>
          </w:tcPr>
          <w:p>
            <w:r>
              <w:rPr>
                <w:b/>
                <w:color w:val="FFFFFF"/>
                <w:sz w:val="14"/>
              </w:rPr>
              <w:t>Opening debt</w:t>
            </w:r>
          </w:p>
        </w:tc>
        <w:tc>
          <w:tcPr>
            <w:tcW w:type="dxa" w:w="1752"/>
            <w:shd w:fill="18304A"/>
          </w:tcPr>
          <w:p>
            <w:r>
              <w:rPr>
                <w:b/>
                <w:color w:val="FFFFFF"/>
                <w:sz w:val="14"/>
              </w:rPr>
              <w:t>Interest @10%</w:t>
            </w:r>
          </w:p>
        </w:tc>
        <w:tc>
          <w:tcPr>
            <w:tcW w:type="dxa" w:w="1752"/>
            <w:shd w:fill="18304A"/>
          </w:tcPr>
          <w:p>
            <w:r>
              <w:rPr>
                <w:b/>
                <w:color w:val="FFFFFF"/>
                <w:sz w:val="14"/>
              </w:rPr>
              <w:t>Principal</w:t>
            </w:r>
          </w:p>
        </w:tc>
        <w:tc>
          <w:tcPr>
            <w:tcW w:type="dxa" w:w="1752"/>
            <w:shd w:fill="18304A"/>
          </w:tcPr>
          <w:p>
            <w:r>
              <w:rPr>
                <w:b/>
                <w:color w:val="FFFFFF"/>
                <w:sz w:val="14"/>
              </w:rPr>
              <w:t>Debt service</w:t>
            </w:r>
          </w:p>
        </w:tc>
        <w:tc>
          <w:tcPr>
            <w:tcW w:type="dxa" w:w="1752"/>
            <w:shd w:fill="18304A"/>
          </w:tcPr>
          <w:p>
            <w:r>
              <w:rPr>
                <w:b/>
                <w:color w:val="FFFFFF"/>
                <w:sz w:val="14"/>
              </w:rPr>
              <w:t>Operating EBITDA</w:t>
            </w:r>
          </w:p>
        </w:tc>
      </w:tr>
      <w:tr>
        <w:tc>
          <w:tcPr>
            <w:tcW w:type="dxa" w:w="1752"/>
            <w:vAlign w:val="center"/>
          </w:tcPr>
          <w:p>
            <w:r>
              <w:rPr>
                <w:sz w:val="14"/>
              </w:rPr>
              <w:t>1</w:t>
            </w:r>
          </w:p>
        </w:tc>
        <w:tc>
          <w:tcPr>
            <w:tcW w:type="dxa" w:w="1752"/>
            <w:vAlign w:val="center"/>
          </w:tcPr>
          <w:p>
            <w:r>
              <w:rPr>
                <w:sz w:val="14"/>
              </w:rPr>
              <w:t>650</w:t>
            </w:r>
          </w:p>
        </w:tc>
        <w:tc>
          <w:tcPr>
            <w:tcW w:type="dxa" w:w="1752"/>
            <w:vAlign w:val="center"/>
          </w:tcPr>
          <w:p>
            <w:r>
              <w:rPr>
                <w:sz w:val="14"/>
              </w:rPr>
              <w:t>65.0</w:t>
            </w:r>
          </w:p>
        </w:tc>
        <w:tc>
          <w:tcPr>
            <w:tcW w:type="dxa" w:w="1752"/>
            <w:vAlign w:val="center"/>
          </w:tcPr>
          <w:p>
            <w:r>
              <w:rPr>
                <w:sz w:val="14"/>
              </w:rPr>
              <w:t>65</w:t>
            </w:r>
          </w:p>
        </w:tc>
        <w:tc>
          <w:tcPr>
            <w:tcW w:type="dxa" w:w="1752"/>
            <w:vAlign w:val="center"/>
          </w:tcPr>
          <w:p>
            <w:r>
              <w:rPr>
                <w:sz w:val="14"/>
              </w:rPr>
              <w:t>130.0</w:t>
            </w:r>
          </w:p>
        </w:tc>
        <w:tc>
          <w:tcPr>
            <w:tcW w:type="dxa" w:w="1752"/>
            <w:vAlign w:val="center"/>
          </w:tcPr>
          <w:p>
            <w:r>
              <w:t>-4</w:t>
            </w:r>
          </w:p>
        </w:tc>
      </w:tr>
      <w:tr>
        <w:tc>
          <w:tcPr>
            <w:tcW w:type="dxa" w:w="1752"/>
            <w:vAlign w:val="center"/>
          </w:tcPr>
          <w:p>
            <w:r>
              <w:rPr>
                <w:sz w:val="14"/>
              </w:rPr>
              <w:t>2</w:t>
            </w:r>
          </w:p>
        </w:tc>
        <w:tc>
          <w:tcPr>
            <w:tcW w:type="dxa" w:w="1752"/>
            <w:vAlign w:val="center"/>
          </w:tcPr>
          <w:p>
            <w:r>
              <w:rPr>
                <w:sz w:val="14"/>
              </w:rPr>
              <w:t>585</w:t>
            </w:r>
          </w:p>
        </w:tc>
        <w:tc>
          <w:tcPr>
            <w:tcW w:type="dxa" w:w="1752"/>
            <w:vAlign w:val="center"/>
          </w:tcPr>
          <w:p>
            <w:r>
              <w:rPr>
                <w:sz w:val="14"/>
              </w:rPr>
              <w:t>58.5</w:t>
            </w:r>
          </w:p>
        </w:tc>
        <w:tc>
          <w:tcPr>
            <w:tcW w:type="dxa" w:w="1752"/>
            <w:vAlign w:val="center"/>
          </w:tcPr>
          <w:p>
            <w:r>
              <w:rPr>
                <w:sz w:val="14"/>
              </w:rPr>
              <w:t>65</w:t>
            </w:r>
          </w:p>
        </w:tc>
        <w:tc>
          <w:tcPr>
            <w:tcW w:type="dxa" w:w="1752"/>
            <w:vAlign w:val="center"/>
          </w:tcPr>
          <w:p>
            <w:r>
              <w:rPr>
                <w:sz w:val="14"/>
              </w:rPr>
              <w:t>123.5</w:t>
            </w:r>
          </w:p>
        </w:tc>
        <w:tc>
          <w:tcPr>
            <w:tcW w:type="dxa" w:w="1752"/>
            <w:vAlign w:val="center"/>
          </w:tcPr>
          <w:p>
            <w:r>
              <w:t>-2</w:t>
            </w:r>
          </w:p>
        </w:tc>
      </w:tr>
      <w:tr>
        <w:tc>
          <w:tcPr>
            <w:tcW w:type="dxa" w:w="1752"/>
            <w:vAlign w:val="center"/>
          </w:tcPr>
          <w:p>
            <w:r>
              <w:rPr>
                <w:sz w:val="14"/>
              </w:rPr>
              <w:t>3</w:t>
            </w:r>
          </w:p>
        </w:tc>
        <w:tc>
          <w:tcPr>
            <w:tcW w:type="dxa" w:w="1752"/>
            <w:vAlign w:val="center"/>
          </w:tcPr>
          <w:p>
            <w:r>
              <w:rPr>
                <w:sz w:val="14"/>
              </w:rPr>
              <w:t>520</w:t>
            </w:r>
          </w:p>
        </w:tc>
        <w:tc>
          <w:tcPr>
            <w:tcW w:type="dxa" w:w="1752"/>
            <w:vAlign w:val="center"/>
          </w:tcPr>
          <w:p>
            <w:r>
              <w:rPr>
                <w:sz w:val="14"/>
              </w:rPr>
              <w:t>52.0</w:t>
            </w:r>
          </w:p>
        </w:tc>
        <w:tc>
          <w:tcPr>
            <w:tcW w:type="dxa" w:w="1752"/>
            <w:vAlign w:val="center"/>
          </w:tcPr>
          <w:p>
            <w:r>
              <w:rPr>
                <w:sz w:val="14"/>
              </w:rPr>
              <w:t>65</w:t>
            </w:r>
          </w:p>
        </w:tc>
        <w:tc>
          <w:tcPr>
            <w:tcW w:type="dxa" w:w="1752"/>
            <w:vAlign w:val="center"/>
          </w:tcPr>
          <w:p>
            <w:r>
              <w:rPr>
                <w:sz w:val="14"/>
              </w:rPr>
              <w:t>117.0</w:t>
            </w:r>
          </w:p>
        </w:tc>
        <w:tc>
          <w:tcPr>
            <w:tcW w:type="dxa" w:w="1752"/>
            <w:vAlign w:val="center"/>
          </w:tcPr>
          <w:p>
            <w:r>
              <w:t>2</w:t>
            </w:r>
          </w:p>
        </w:tc>
      </w:tr>
      <w:tr>
        <w:tc>
          <w:tcPr>
            <w:tcW w:type="dxa" w:w="1752"/>
            <w:vAlign w:val="center"/>
          </w:tcPr>
          <w:p>
            <w:r>
              <w:rPr>
                <w:sz w:val="14"/>
              </w:rPr>
              <w:t>4</w:t>
            </w:r>
          </w:p>
        </w:tc>
        <w:tc>
          <w:tcPr>
            <w:tcW w:type="dxa" w:w="1752"/>
            <w:vAlign w:val="center"/>
          </w:tcPr>
          <w:p>
            <w:r>
              <w:rPr>
                <w:sz w:val="14"/>
              </w:rPr>
              <w:t>455</w:t>
            </w:r>
          </w:p>
        </w:tc>
        <w:tc>
          <w:tcPr>
            <w:tcW w:type="dxa" w:w="1752"/>
            <w:vAlign w:val="center"/>
          </w:tcPr>
          <w:p>
            <w:r>
              <w:rPr>
                <w:sz w:val="14"/>
              </w:rPr>
              <w:t>45.5</w:t>
            </w:r>
          </w:p>
        </w:tc>
        <w:tc>
          <w:tcPr>
            <w:tcW w:type="dxa" w:w="1752"/>
            <w:vAlign w:val="center"/>
          </w:tcPr>
          <w:p>
            <w:r>
              <w:rPr>
                <w:sz w:val="14"/>
              </w:rPr>
              <w:t>65</w:t>
            </w:r>
          </w:p>
        </w:tc>
        <w:tc>
          <w:tcPr>
            <w:tcW w:type="dxa" w:w="1752"/>
            <w:vAlign w:val="center"/>
          </w:tcPr>
          <w:p>
            <w:r>
              <w:rPr>
                <w:sz w:val="14"/>
              </w:rPr>
              <w:t>110.5</w:t>
            </w:r>
          </w:p>
        </w:tc>
        <w:tc>
          <w:tcPr>
            <w:tcW w:type="dxa" w:w="1752"/>
            <w:vAlign w:val="center"/>
          </w:tcPr>
          <w:p>
            <w:r>
              <w:t>6.5</w:t>
            </w:r>
          </w:p>
        </w:tc>
      </w:tr>
      <w:tr>
        <w:tc>
          <w:tcPr>
            <w:tcW w:type="dxa" w:w="1752"/>
            <w:vAlign w:val="center"/>
          </w:tcPr>
          <w:p>
            <w:r>
              <w:rPr>
                <w:sz w:val="14"/>
              </w:rPr>
              <w:t>5</w:t>
            </w:r>
          </w:p>
        </w:tc>
        <w:tc>
          <w:tcPr>
            <w:tcW w:type="dxa" w:w="1752"/>
            <w:vAlign w:val="center"/>
          </w:tcPr>
          <w:p>
            <w:r>
              <w:rPr>
                <w:sz w:val="14"/>
              </w:rPr>
              <w:t>390</w:t>
            </w:r>
          </w:p>
        </w:tc>
        <w:tc>
          <w:tcPr>
            <w:tcW w:type="dxa" w:w="1752"/>
            <w:vAlign w:val="center"/>
          </w:tcPr>
          <w:p>
            <w:r>
              <w:rPr>
                <w:sz w:val="14"/>
              </w:rPr>
              <w:t>39.0</w:t>
            </w:r>
          </w:p>
        </w:tc>
        <w:tc>
          <w:tcPr>
            <w:tcW w:type="dxa" w:w="1752"/>
            <w:vAlign w:val="center"/>
          </w:tcPr>
          <w:p>
            <w:r>
              <w:rPr>
                <w:sz w:val="14"/>
              </w:rPr>
              <w:t>65</w:t>
            </w:r>
          </w:p>
        </w:tc>
        <w:tc>
          <w:tcPr>
            <w:tcW w:type="dxa" w:w="1752"/>
            <w:vAlign w:val="center"/>
          </w:tcPr>
          <w:p>
            <w:r>
              <w:rPr>
                <w:sz w:val="14"/>
              </w:rPr>
              <w:t>104.0</w:t>
            </w:r>
          </w:p>
        </w:tc>
        <w:tc>
          <w:tcPr>
            <w:tcW w:type="dxa" w:w="1752"/>
            <w:vAlign w:val="center"/>
          </w:tcPr>
          <w:p>
            <w:r>
              <w:t>11</w:t>
            </w:r>
          </w:p>
        </w:tc>
      </w:tr>
      <w:tr>
        <w:tc>
          <w:tcPr>
            <w:tcW w:type="dxa" w:w="1752"/>
            <w:vAlign w:val="center"/>
          </w:tcPr>
          <w:p>
            <w:r>
              <w:rPr>
                <w:sz w:val="14"/>
              </w:rPr>
              <w:t>6</w:t>
            </w:r>
          </w:p>
        </w:tc>
        <w:tc>
          <w:tcPr>
            <w:tcW w:type="dxa" w:w="1752"/>
            <w:vAlign w:val="center"/>
          </w:tcPr>
          <w:p>
            <w:r>
              <w:rPr>
                <w:sz w:val="14"/>
              </w:rPr>
              <w:t>325</w:t>
            </w:r>
          </w:p>
        </w:tc>
        <w:tc>
          <w:tcPr>
            <w:tcW w:type="dxa" w:w="1752"/>
            <w:vAlign w:val="center"/>
          </w:tcPr>
          <w:p>
            <w:r>
              <w:rPr>
                <w:sz w:val="14"/>
              </w:rPr>
              <w:t>32.5</w:t>
            </w:r>
          </w:p>
        </w:tc>
        <w:tc>
          <w:tcPr>
            <w:tcW w:type="dxa" w:w="1752"/>
            <w:vAlign w:val="center"/>
          </w:tcPr>
          <w:p>
            <w:r>
              <w:rPr>
                <w:sz w:val="14"/>
              </w:rPr>
              <w:t>65</w:t>
            </w:r>
          </w:p>
        </w:tc>
        <w:tc>
          <w:tcPr>
            <w:tcW w:type="dxa" w:w="1752"/>
            <w:vAlign w:val="center"/>
          </w:tcPr>
          <w:p>
            <w:r>
              <w:rPr>
                <w:sz w:val="14"/>
              </w:rPr>
              <w:t>97.5</w:t>
            </w:r>
          </w:p>
        </w:tc>
        <w:tc>
          <w:tcPr>
            <w:tcW w:type="dxa" w:w="1752"/>
            <w:vAlign w:val="center"/>
          </w:tcPr>
          <w:p>
            <w:r>
              <w:t>15</w:t>
            </w:r>
          </w:p>
        </w:tc>
      </w:tr>
      <w:tr>
        <w:tc>
          <w:tcPr>
            <w:tcW w:type="dxa" w:w="1752"/>
            <w:vAlign w:val="center"/>
          </w:tcPr>
          <w:p>
            <w:r>
              <w:rPr>
                <w:sz w:val="14"/>
              </w:rPr>
              <w:t>7</w:t>
            </w:r>
          </w:p>
        </w:tc>
        <w:tc>
          <w:tcPr>
            <w:tcW w:type="dxa" w:w="1752"/>
            <w:vAlign w:val="center"/>
          </w:tcPr>
          <w:p>
            <w:r>
              <w:rPr>
                <w:sz w:val="14"/>
              </w:rPr>
              <w:t>260</w:t>
            </w:r>
          </w:p>
        </w:tc>
        <w:tc>
          <w:tcPr>
            <w:tcW w:type="dxa" w:w="1752"/>
            <w:vAlign w:val="center"/>
          </w:tcPr>
          <w:p>
            <w:r>
              <w:rPr>
                <w:sz w:val="14"/>
              </w:rPr>
              <w:t>26.0</w:t>
            </w:r>
          </w:p>
        </w:tc>
        <w:tc>
          <w:tcPr>
            <w:tcW w:type="dxa" w:w="1752"/>
            <w:vAlign w:val="center"/>
          </w:tcPr>
          <w:p>
            <w:r>
              <w:rPr>
                <w:sz w:val="14"/>
              </w:rPr>
              <w:t>65</w:t>
            </w:r>
          </w:p>
        </w:tc>
        <w:tc>
          <w:tcPr>
            <w:tcW w:type="dxa" w:w="1752"/>
            <w:vAlign w:val="center"/>
          </w:tcPr>
          <w:p>
            <w:r>
              <w:rPr>
                <w:sz w:val="14"/>
              </w:rPr>
              <w:t>91.0</w:t>
            </w:r>
          </w:p>
        </w:tc>
        <w:tc>
          <w:tcPr>
            <w:tcW w:type="dxa" w:w="1752"/>
            <w:vAlign w:val="center"/>
          </w:tcPr>
          <w:p>
            <w:r>
              <w:t>18.5</w:t>
            </w:r>
          </w:p>
        </w:tc>
      </w:tr>
      <w:tr>
        <w:tc>
          <w:tcPr>
            <w:tcW w:type="dxa" w:w="1752"/>
            <w:vAlign w:val="center"/>
          </w:tcPr>
          <w:p>
            <w:r>
              <w:rPr>
                <w:sz w:val="14"/>
              </w:rPr>
              <w:t>8</w:t>
            </w:r>
          </w:p>
        </w:tc>
        <w:tc>
          <w:tcPr>
            <w:tcW w:type="dxa" w:w="1752"/>
            <w:vAlign w:val="center"/>
          </w:tcPr>
          <w:p>
            <w:r>
              <w:rPr>
                <w:sz w:val="14"/>
              </w:rPr>
              <w:t>195</w:t>
            </w:r>
          </w:p>
        </w:tc>
        <w:tc>
          <w:tcPr>
            <w:tcW w:type="dxa" w:w="1752"/>
            <w:vAlign w:val="center"/>
          </w:tcPr>
          <w:p>
            <w:r>
              <w:rPr>
                <w:sz w:val="14"/>
              </w:rPr>
              <w:t>19.5</w:t>
            </w:r>
          </w:p>
        </w:tc>
        <w:tc>
          <w:tcPr>
            <w:tcW w:type="dxa" w:w="1752"/>
            <w:vAlign w:val="center"/>
          </w:tcPr>
          <w:p>
            <w:r>
              <w:rPr>
                <w:sz w:val="14"/>
              </w:rPr>
              <w:t>65</w:t>
            </w:r>
          </w:p>
        </w:tc>
        <w:tc>
          <w:tcPr>
            <w:tcW w:type="dxa" w:w="1752"/>
            <w:vAlign w:val="center"/>
          </w:tcPr>
          <w:p>
            <w:r>
              <w:rPr>
                <w:sz w:val="14"/>
              </w:rPr>
              <w:t>84.5</w:t>
            </w:r>
          </w:p>
        </w:tc>
        <w:tc>
          <w:tcPr>
            <w:tcW w:type="dxa" w:w="1752"/>
            <w:vAlign w:val="center"/>
          </w:tcPr>
          <w:p>
            <w:r>
              <w:t>21.5</w:t>
            </w:r>
          </w:p>
        </w:tc>
      </w:tr>
      <w:tr>
        <w:tc>
          <w:tcPr>
            <w:tcW w:type="dxa" w:w="1752"/>
            <w:vAlign w:val="center"/>
          </w:tcPr>
          <w:p>
            <w:r>
              <w:rPr>
                <w:sz w:val="14"/>
              </w:rPr>
              <w:t>9</w:t>
            </w:r>
          </w:p>
        </w:tc>
        <w:tc>
          <w:tcPr>
            <w:tcW w:type="dxa" w:w="1752"/>
            <w:vAlign w:val="center"/>
          </w:tcPr>
          <w:p>
            <w:r>
              <w:rPr>
                <w:sz w:val="14"/>
              </w:rPr>
              <w:t>130</w:t>
            </w:r>
          </w:p>
        </w:tc>
        <w:tc>
          <w:tcPr>
            <w:tcW w:type="dxa" w:w="1752"/>
            <w:vAlign w:val="center"/>
          </w:tcPr>
          <w:p>
            <w:r>
              <w:rPr>
                <w:sz w:val="14"/>
              </w:rPr>
              <w:t>13.0</w:t>
            </w:r>
          </w:p>
        </w:tc>
        <w:tc>
          <w:tcPr>
            <w:tcW w:type="dxa" w:w="1752"/>
            <w:vAlign w:val="center"/>
          </w:tcPr>
          <w:p>
            <w:r>
              <w:rPr>
                <w:sz w:val="14"/>
              </w:rPr>
              <w:t>65</w:t>
            </w:r>
          </w:p>
        </w:tc>
        <w:tc>
          <w:tcPr>
            <w:tcW w:type="dxa" w:w="1752"/>
            <w:vAlign w:val="center"/>
          </w:tcPr>
          <w:p>
            <w:r>
              <w:rPr>
                <w:sz w:val="14"/>
              </w:rPr>
              <w:t>78.0</w:t>
            </w:r>
          </w:p>
        </w:tc>
        <w:tc>
          <w:tcPr>
            <w:tcW w:type="dxa" w:w="1752"/>
            <w:vAlign w:val="center"/>
          </w:tcPr>
          <w:p>
            <w:r>
              <w:t>23.8</w:t>
            </w:r>
          </w:p>
        </w:tc>
      </w:tr>
      <w:tr>
        <w:tc>
          <w:tcPr>
            <w:tcW w:type="dxa" w:w="1752"/>
            <w:vAlign w:val="center"/>
          </w:tcPr>
          <w:p>
            <w:r>
              <w:rPr>
                <w:sz w:val="14"/>
              </w:rPr>
              <w:t>10</w:t>
            </w:r>
          </w:p>
        </w:tc>
        <w:tc>
          <w:tcPr>
            <w:tcW w:type="dxa" w:w="1752"/>
            <w:vAlign w:val="center"/>
          </w:tcPr>
          <w:p>
            <w:r>
              <w:rPr>
                <w:sz w:val="14"/>
              </w:rPr>
              <w:t>65</w:t>
            </w:r>
          </w:p>
        </w:tc>
        <w:tc>
          <w:tcPr>
            <w:tcW w:type="dxa" w:w="1752"/>
            <w:vAlign w:val="center"/>
          </w:tcPr>
          <w:p>
            <w:r>
              <w:rPr>
                <w:sz w:val="14"/>
              </w:rPr>
              <w:t>6.5</w:t>
            </w:r>
          </w:p>
        </w:tc>
        <w:tc>
          <w:tcPr>
            <w:tcW w:type="dxa" w:w="1752"/>
            <w:vAlign w:val="center"/>
          </w:tcPr>
          <w:p>
            <w:r>
              <w:rPr>
                <w:sz w:val="14"/>
              </w:rPr>
              <w:t>65</w:t>
            </w:r>
          </w:p>
        </w:tc>
        <w:tc>
          <w:tcPr>
            <w:tcW w:type="dxa" w:w="1752"/>
            <w:vAlign w:val="center"/>
          </w:tcPr>
          <w:p>
            <w:r>
              <w:rPr>
                <w:sz w:val="14"/>
              </w:rPr>
              <w:t>71.5</w:t>
            </w:r>
          </w:p>
        </w:tc>
        <w:tc>
          <w:tcPr>
            <w:tcW w:type="dxa" w:w="1752"/>
            <w:vAlign w:val="center"/>
          </w:tcPr>
          <w:p>
            <w:r>
              <w:t>26.55</w:t>
            </w:r>
          </w:p>
        </w:tc>
      </w:tr>
    </w:tbl>
    <w:p>
      <w:r>
        <w:br w:type="page"/>
      </w:r>
    </w:p>
    <w:p>
      <w:pPr>
        <w:pStyle w:val="Heading1"/>
      </w:pPr>
      <w:r>
        <w:t>48. Recommended Capital Structure</w:t>
      </w:r>
    </w:p>
    <w:p>
      <w:pPr>
        <w:spacing w:after="100"/>
      </w:pPr>
      <w:r>
        <w:t>Separate the land asset from the academy operating company. The land SPV can use equity, long-duration real-estate capital, lease economics or a strategic owner; the operating company should carry a smaller, serviceable debt load.</w:t>
      </w:r>
    </w:p>
    <w:p>
      <w:pPr>
        <w:spacing w:after="100"/>
      </w:pPr>
      <w:r>
        <w:t>Phase construction and release capital only against verified demand, school contracts, memberships and operating milestones. Equity and impact/CSR capital are particularly appropriate for sports inclusion, scholarships and youth development.</w:t>
      </w:r>
    </w:p>
    <w:p>
      <w:pPr>
        <w:pStyle w:val="ListBullet"/>
      </w:pPr>
      <w:r>
        <w:t>Land/asset SPV separate from operating company.</w:t>
      </w:r>
    </w:p>
    <w:p>
      <w:pPr>
        <w:pStyle w:val="ListBullet"/>
      </w:pPr>
      <w:r>
        <w:t>Phased development rather than full Rs.150 Cr upfront.</w:t>
      </w:r>
    </w:p>
    <w:p>
      <w:pPr>
        <w:pStyle w:val="ListBullet"/>
      </w:pPr>
      <w:r>
        <w:t>Longer-tenure debt for infrastructure.</w:t>
      </w:r>
    </w:p>
    <w:p>
      <w:pPr>
        <w:pStyle w:val="ListBullet"/>
      </w:pPr>
      <w:r>
        <w:t>Operating debt sized to DSCR, not to asset aspiration.</w:t>
      </w:r>
    </w:p>
    <w:p>
      <w:pPr>
        <w:pStyle w:val="ListBullet"/>
      </w:pPr>
      <w:r>
        <w:t>CSR/impact capital ring-fenced for access programmes.</w:t>
      </w:r>
    </w:p>
    <w:p>
      <w:r>
        <w:br w:type="page"/>
      </w:r>
    </w:p>
    <w:p>
      <w:pPr>
        <w:pStyle w:val="Heading1"/>
      </w:pPr>
      <w:r>
        <w:t>49. Membership and Residential-Community Strategy</w:t>
      </w:r>
    </w:p>
    <w:p>
      <w:pPr>
        <w:spacing w:after="100"/>
      </w:pPr>
      <w:r>
        <w:t>The family subscription concept borrows the logic of community clubs - recurring access, social identity and priority booking - without assuming that nearby clubs have identical economics. The final competitor study should benchmark Indian Gymkhana, HRBR-area clubs and residential clubhouse fees directly.</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Tier</w:t>
            </w:r>
          </w:p>
        </w:tc>
        <w:tc>
          <w:tcPr>
            <w:tcW w:type="dxa" w:w="3504"/>
            <w:shd w:fill="18304A"/>
          </w:tcPr>
          <w:p>
            <w:r>
              <w:rPr>
                <w:b/>
                <w:color w:val="FFFFFF"/>
                <w:sz w:val="14"/>
              </w:rPr>
              <w:t>Illustrative monthly price</w:t>
            </w:r>
          </w:p>
        </w:tc>
        <w:tc>
          <w:tcPr>
            <w:tcW w:type="dxa" w:w="3504"/>
            <w:shd w:fill="18304A"/>
          </w:tcPr>
          <w:p>
            <w:r>
              <w:rPr>
                <w:b/>
                <w:color w:val="FFFFFF"/>
                <w:sz w:val="14"/>
              </w:rPr>
              <w:t>Benefits</w:t>
            </w:r>
          </w:p>
        </w:tc>
      </w:tr>
      <w:tr>
        <w:tc>
          <w:tcPr>
            <w:tcW w:type="dxa" w:w="3504"/>
            <w:vAlign w:val="center"/>
          </w:tcPr>
          <w:p>
            <w:r>
              <w:rPr>
                <w:sz w:val="14"/>
              </w:rPr>
              <w:t>Community</w:t>
            </w:r>
          </w:p>
        </w:tc>
        <w:tc>
          <w:tcPr>
            <w:tcW w:type="dxa" w:w="3504"/>
            <w:vAlign w:val="center"/>
          </w:tcPr>
          <w:p>
            <w:r>
              <w:rPr>
                <w:sz w:val="14"/>
              </w:rPr>
              <w:t>Rs.3,000</w:t>
            </w:r>
          </w:p>
        </w:tc>
        <w:tc>
          <w:tcPr>
            <w:tcW w:type="dxa" w:w="3504"/>
            <w:vAlign w:val="center"/>
          </w:tcPr>
          <w:p>
            <w:r>
              <w:rPr>
                <w:sz w:val="14"/>
              </w:rPr>
              <w:t>Walking, events, cafe credits, booking access</w:t>
            </w:r>
          </w:p>
        </w:tc>
      </w:tr>
      <w:tr>
        <w:tc>
          <w:tcPr>
            <w:tcW w:type="dxa" w:w="3504"/>
            <w:vAlign w:val="center"/>
          </w:tcPr>
          <w:p>
            <w:r>
              <w:rPr>
                <w:sz w:val="14"/>
              </w:rPr>
              <w:t>Sports+</w:t>
            </w:r>
          </w:p>
        </w:tc>
        <w:tc>
          <w:tcPr>
            <w:tcW w:type="dxa" w:w="3504"/>
            <w:vAlign w:val="center"/>
          </w:tcPr>
          <w:p>
            <w:r>
              <w:rPr>
                <w:sz w:val="14"/>
              </w:rPr>
              <w:t>Rs.6,000</w:t>
            </w:r>
          </w:p>
        </w:tc>
        <w:tc>
          <w:tcPr>
            <w:tcW w:type="dxa" w:w="3504"/>
            <w:vAlign w:val="center"/>
          </w:tcPr>
          <w:p>
            <w:r>
              <w:rPr>
                <w:sz w:val="14"/>
              </w:rPr>
              <w:t>Sport credits + fitness</w:t>
            </w:r>
          </w:p>
        </w:tc>
      </w:tr>
      <w:tr>
        <w:tc>
          <w:tcPr>
            <w:tcW w:type="dxa" w:w="3504"/>
            <w:vAlign w:val="center"/>
          </w:tcPr>
          <w:p>
            <w:r>
              <w:rPr>
                <w:sz w:val="14"/>
              </w:rPr>
              <w:t>Family Elite</w:t>
            </w:r>
          </w:p>
        </w:tc>
        <w:tc>
          <w:tcPr>
            <w:tcW w:type="dxa" w:w="3504"/>
            <w:vAlign w:val="center"/>
          </w:tcPr>
          <w:p>
            <w:r>
              <w:rPr>
                <w:sz w:val="14"/>
              </w:rPr>
              <w:t>Rs.10,000-12,500</w:t>
            </w:r>
          </w:p>
        </w:tc>
        <w:tc>
          <w:tcPr>
            <w:tcW w:type="dxa" w:w="3504"/>
            <w:vAlign w:val="center"/>
          </w:tcPr>
          <w:p>
            <w:r>
              <w:rPr>
                <w:sz w:val="14"/>
              </w:rPr>
              <w:t>Family access + priority booking + discounts</w:t>
            </w:r>
          </w:p>
        </w:tc>
      </w:tr>
      <w:tr>
        <w:tc>
          <w:tcPr>
            <w:tcW w:type="dxa" w:w="3504"/>
            <w:vAlign w:val="center"/>
          </w:tcPr>
          <w:p>
            <w:r>
              <w:rPr>
                <w:sz w:val="14"/>
              </w:rPr>
              <w:t>Grandparents Care</w:t>
            </w:r>
          </w:p>
        </w:tc>
        <w:tc>
          <w:tcPr>
            <w:tcW w:type="dxa" w:w="3504"/>
            <w:vAlign w:val="center"/>
          </w:tcPr>
          <w:p>
            <w:r>
              <w:rPr>
                <w:sz w:val="14"/>
              </w:rPr>
              <w:t>Rs.12,000-18,000</w:t>
            </w:r>
          </w:p>
        </w:tc>
        <w:tc>
          <w:tcPr>
            <w:tcW w:type="dxa" w:w="3504"/>
            <w:vAlign w:val="center"/>
          </w:tcPr>
          <w:p>
            <w:r>
              <w:rPr>
                <w:sz w:val="14"/>
              </w:rPr>
              <w:t>Senior day programme</w:t>
            </w:r>
          </w:p>
        </w:tc>
      </w:tr>
      <w:tr>
        <w:tc>
          <w:tcPr>
            <w:tcW w:type="dxa" w:w="3504"/>
            <w:vAlign w:val="center"/>
          </w:tcPr>
          <w:p>
            <w:r>
              <w:rPr>
                <w:sz w:val="14"/>
              </w:rPr>
              <w:t>Residential Premium</w:t>
            </w:r>
          </w:p>
        </w:tc>
        <w:tc>
          <w:tcPr>
            <w:tcW w:type="dxa" w:w="3504"/>
            <w:vAlign w:val="center"/>
          </w:tcPr>
          <w:p>
            <w:r>
              <w:rPr>
                <w:sz w:val="14"/>
              </w:rPr>
              <w:t>Rs.35,000-60,000</w:t>
            </w:r>
          </w:p>
        </w:tc>
        <w:tc>
          <w:tcPr>
            <w:tcW w:type="dxa" w:w="3504"/>
            <w:vAlign w:val="center"/>
          </w:tcPr>
          <w:p>
            <w:r>
              <w:rPr>
                <w:sz w:val="14"/>
              </w:rPr>
              <w:t>Accommodation, meals, care and programme</w:t>
            </w:r>
          </w:p>
        </w:tc>
      </w:tr>
    </w:tbl>
    <w:p>
      <w:r>
        <w:br w:type="page"/>
      </w:r>
    </w:p>
    <w:p>
      <w:pPr>
        <w:pStyle w:val="Heading1"/>
      </w:pPr>
      <w:r>
        <w:t>50. Facility Rental Strategy</w:t>
      </w:r>
    </w:p>
    <w:p>
      <w:pPr>
        <w:spacing w:after="100"/>
      </w:pPr>
      <w:r>
        <w:t>Hourly rental converts non-academy capacity into cash flow. Peak evening and weekend prices should be dynamic. Provider examples show that Bengaluru rental rates vary widely by facility quality and time.</w:t>
      </w:r>
    </w:p>
    <w:tbl>
      <w:tblPr>
        <w:tblStyle w:val="TableGrid"/>
        <w:tblW w:type="auto" w:w="0"/>
        <w:jc w:val="center"/>
        <w:tblLook w:firstColumn="1" w:firstRow="1" w:lastColumn="0" w:lastRow="0" w:noHBand="0" w:noVBand="1" w:val="04A0"/>
      </w:tblPr>
      <w:tblGrid>
        <w:gridCol w:w="5256"/>
        <w:gridCol w:w="5256"/>
      </w:tblGrid>
      <w:tr>
        <w:tc>
          <w:tcPr>
            <w:tcW w:type="dxa" w:w="5256"/>
            <w:shd w:fill="18304A"/>
          </w:tcPr>
          <w:p>
            <w:r>
              <w:rPr>
                <w:b/>
                <w:color w:val="FFFFFF"/>
                <w:sz w:val="14"/>
              </w:rPr>
              <w:t>Facility</w:t>
            </w:r>
          </w:p>
        </w:tc>
        <w:tc>
          <w:tcPr>
            <w:tcW w:type="dxa" w:w="5256"/>
            <w:shd w:fill="18304A"/>
          </w:tcPr>
          <w:p>
            <w:r>
              <w:rPr>
                <w:b/>
                <w:color w:val="FFFFFF"/>
                <w:sz w:val="14"/>
              </w:rPr>
              <w:t>Illustrative pricing basis</w:t>
            </w:r>
          </w:p>
        </w:tc>
      </w:tr>
      <w:tr>
        <w:tc>
          <w:tcPr>
            <w:tcW w:type="dxa" w:w="5256"/>
            <w:vAlign w:val="center"/>
          </w:tcPr>
          <w:p>
            <w:r>
              <w:rPr>
                <w:sz w:val="14"/>
              </w:rPr>
              <w:t>Football / shared turf</w:t>
            </w:r>
          </w:p>
        </w:tc>
        <w:tc>
          <w:tcPr>
            <w:tcW w:type="dxa" w:w="5256"/>
            <w:vAlign w:val="center"/>
          </w:tcPr>
          <w:p>
            <w:r>
              <w:rPr>
                <w:sz w:val="14"/>
              </w:rPr>
              <w:t>Local market survey required; target premium evening pricing</w:t>
            </w:r>
          </w:p>
        </w:tc>
      </w:tr>
      <w:tr>
        <w:tc>
          <w:tcPr>
            <w:tcW w:type="dxa" w:w="5256"/>
            <w:vAlign w:val="center"/>
          </w:tcPr>
          <w:p>
            <w:r>
              <w:rPr>
                <w:sz w:val="14"/>
              </w:rPr>
              <w:t>Cricket nets</w:t>
            </w:r>
          </w:p>
        </w:tc>
        <w:tc>
          <w:tcPr>
            <w:tcW w:type="dxa" w:w="5256"/>
            <w:vAlign w:val="center"/>
          </w:tcPr>
          <w:p>
            <w:r>
              <w:rPr>
                <w:sz w:val="14"/>
              </w:rPr>
              <w:t>Benchmark against provider rates; multi-lane packages</w:t>
            </w:r>
          </w:p>
        </w:tc>
      </w:tr>
      <w:tr>
        <w:tc>
          <w:tcPr>
            <w:tcW w:type="dxa" w:w="5256"/>
            <w:vAlign w:val="center"/>
          </w:tcPr>
          <w:p>
            <w:r>
              <w:rPr>
                <w:sz w:val="14"/>
              </w:rPr>
              <w:t>Cricket field</w:t>
            </w:r>
          </w:p>
        </w:tc>
        <w:tc>
          <w:tcPr>
            <w:tcW w:type="dxa" w:w="5256"/>
            <w:vAlign w:val="center"/>
          </w:tcPr>
          <w:p>
            <w:r>
              <w:rPr>
                <w:sz w:val="14"/>
              </w:rPr>
              <w:t>Half-day / full-day pricing</w:t>
            </w:r>
          </w:p>
        </w:tc>
      </w:tr>
      <w:tr>
        <w:tc>
          <w:tcPr>
            <w:tcW w:type="dxa" w:w="5256"/>
            <w:vAlign w:val="center"/>
          </w:tcPr>
          <w:p>
            <w:r>
              <w:rPr>
                <w:sz w:val="14"/>
              </w:rPr>
              <w:t>Hockey5s / small-sided field</w:t>
            </w:r>
          </w:p>
        </w:tc>
        <w:tc>
          <w:tcPr>
            <w:tcW w:type="dxa" w:w="5256"/>
            <w:vAlign w:val="center"/>
          </w:tcPr>
          <w:p>
            <w:r>
              <w:rPr>
                <w:sz w:val="14"/>
              </w:rPr>
              <w:t>Hourly rental</w:t>
            </w:r>
          </w:p>
        </w:tc>
      </w:tr>
      <w:tr>
        <w:tc>
          <w:tcPr>
            <w:tcW w:type="dxa" w:w="5256"/>
            <w:vAlign w:val="center"/>
          </w:tcPr>
          <w:p>
            <w:r>
              <w:rPr>
                <w:sz w:val="14"/>
              </w:rPr>
              <w:t>Indoor courts</w:t>
            </w:r>
          </w:p>
        </w:tc>
        <w:tc>
          <w:tcPr>
            <w:tcW w:type="dxa" w:w="5256"/>
            <w:vAlign w:val="center"/>
          </w:tcPr>
          <w:p>
            <w:r>
              <w:rPr>
                <w:sz w:val="14"/>
              </w:rPr>
              <w:t>Hourly / membership credits</w:t>
            </w:r>
          </w:p>
        </w:tc>
      </w:tr>
      <w:tr>
        <w:tc>
          <w:tcPr>
            <w:tcW w:type="dxa" w:w="5256"/>
            <w:vAlign w:val="center"/>
          </w:tcPr>
          <w:p>
            <w:r>
              <w:rPr>
                <w:sz w:val="14"/>
              </w:rPr>
              <w:t>Classrooms / leadership rooms</w:t>
            </w:r>
          </w:p>
        </w:tc>
        <w:tc>
          <w:tcPr>
            <w:tcW w:type="dxa" w:w="5256"/>
            <w:vAlign w:val="center"/>
          </w:tcPr>
          <w:p>
            <w:r>
              <w:rPr>
                <w:sz w:val="14"/>
              </w:rPr>
              <w:t>School/corporate hourly or day rate</w:t>
            </w:r>
          </w:p>
        </w:tc>
      </w:tr>
      <w:tr>
        <w:tc>
          <w:tcPr>
            <w:tcW w:type="dxa" w:w="5256"/>
            <w:vAlign w:val="center"/>
          </w:tcPr>
          <w:p>
            <w:r>
              <w:rPr>
                <w:sz w:val="14"/>
              </w:rPr>
              <w:t>Cafe/event lawn</w:t>
            </w:r>
          </w:p>
        </w:tc>
        <w:tc>
          <w:tcPr>
            <w:tcW w:type="dxa" w:w="5256"/>
            <w:vAlign w:val="center"/>
          </w:tcPr>
          <w:p>
            <w:r>
              <w:rPr>
                <w:sz w:val="14"/>
              </w:rPr>
              <w:t>Event package</w:t>
            </w:r>
          </w:p>
        </w:tc>
      </w:tr>
    </w:tbl>
    <w:p>
      <w:r>
        <w:rPr>
          <w:i/>
          <w:color w:val="646464"/>
          <w:sz w:val="14"/>
        </w:rPr>
        <w:t>Sources / basis: S15-S16</w:t>
      </w:r>
    </w:p>
    <w:p>
      <w:r>
        <w:br w:type="page"/>
      </w:r>
    </w:p>
    <w:p>
      <w:pPr>
        <w:pStyle w:val="Heading1"/>
      </w:pPr>
      <w:r>
        <w:t>50. Corporate, School and NGO Programmes</w:t>
      </w:r>
    </w:p>
    <w:p>
      <w:pPr>
        <w:spacing w:after="100"/>
      </w:pPr>
      <w:r>
        <w:t>The campus can generate weekday revenue by selling experiences rather than only after-school memberships. Products include corporate leadership days, school sports outsourcing, PE support, tournaments, teacher development, NGO sports inclusion and CSR-funded scholarships.</w:t>
      </w:r>
    </w:p>
    <w:p>
      <w:pPr>
        <w:spacing w:after="100"/>
      </w:pPr>
      <w:r>
        <w:t>The model treats these revenues as assumptions until sales conversations produce letters of intent or contracts.</w:t>
      </w:r>
    </w:p>
    <w:p>
      <w:r>
        <w:br w:type="page"/>
      </w:r>
    </w:p>
    <w:p>
      <w:pPr>
        <w:pStyle w:val="Heading1"/>
      </w:pPr>
      <w:r>
        <w:t>51. Sports Management Business</w:t>
      </w:r>
    </w:p>
    <w:p>
      <w:pPr>
        <w:spacing w:after="100"/>
      </w:pPr>
      <w:r>
        <w:t>A separate sports-management unit can operate beyond the five-acre property. Services include school sports department outsourcing, coach deployment, event/tournament management, corporate leagues, athlete performance records, travel support, sponsorship support and facility operations.</w:t>
      </w:r>
    </w:p>
    <w:p>
      <w:pPr>
        <w:spacing w:after="100"/>
      </w:pPr>
      <w:r>
        <w:t>This is strategically important because it allows revenue growth without continuously adding land.</w:t>
      </w:r>
    </w:p>
    <w:p>
      <w:r>
        <w:br w:type="page"/>
      </w:r>
    </w:p>
    <w:p>
      <w:pPr>
        <w:pStyle w:val="Heading1"/>
      </w:pPr>
      <w:r>
        <w:t>52. Marketing and Sales Funnel</w:t>
      </w:r>
    </w:p>
    <w:p>
      <w:pPr>
        <w:spacing w:after="100"/>
      </w:pPr>
      <w:r>
        <w:t>Acquisition should be driven through schools, residential communities and referrals rather than expensive mass advertising. The core funnel is: lead -&gt; trial -&gt; orientation assessment -&gt; membership -&gt; cross-sell -&gt; retention -&gt; referral.</w:t>
      </w:r>
    </w:p>
    <w:p>
      <w:pPr>
        <w:spacing w:after="100"/>
      </w:pPr>
      <w:r>
        <w:t>Parent trust, safety transparency and measurable child progress should be stronger messages than facility glamour.</w:t>
      </w:r>
    </w:p>
    <w:p>
      <w:r>
        <w:br w:type="page"/>
      </w:r>
    </w:p>
    <w:p>
      <w:pPr>
        <w:pStyle w:val="Heading1"/>
      </w:pPr>
      <w:r>
        <w:t>53. Technology Architecture</w:t>
      </w:r>
    </w:p>
    <w:p>
      <w:pPr>
        <w:spacing w:after="100"/>
      </w:pPr>
      <w:r>
        <w:t>The campus needs one system of record for admissions, attendance, parent permissions, pickup authorization, bookings, payments, coach/tutor notes, performance testing, meals, transport, residential occupancy and incident management.</w:t>
      </w:r>
    </w:p>
    <w:p>
      <w:pPr>
        <w:spacing w:after="100"/>
      </w:pPr>
      <w:r>
        <w:t>Role-based access and multi-factor authentication should be used for child data, health data, CCTV access and parent communications.</w:t>
      </w:r>
    </w:p>
    <w:p>
      <w:r>
        <w:br w:type="page"/>
      </w:r>
    </w:p>
    <w:p>
      <w:pPr>
        <w:pStyle w:val="Heading1"/>
      </w:pPr>
      <w:r>
        <w:t>54. Safeguarding Governance</w:t>
      </w:r>
    </w:p>
    <w:p>
      <w:pPr>
        <w:spacing w:after="100"/>
      </w:pPr>
      <w:r>
        <w:t>A safeguarding committee should review incidents, background checks, training completion, transport exceptions, residential issues, CCTV governance and parent complaints. The campus should maintain a no-retaliation reporting mechanism and a documented escalation path.</w:t>
      </w:r>
    </w:p>
    <w:p>
      <w:pPr>
        <w:spacing w:after="100"/>
      </w:pPr>
      <w:r>
        <w:t>Quarterly safety walks and regular drills create an auditable record of preventive action rather than reacting only after incidents.</w:t>
      </w:r>
    </w:p>
    <w:p>
      <w:r>
        <w:rPr>
          <w:i/>
          <w:color w:val="646464"/>
          <w:sz w:val="14"/>
        </w:rPr>
        <w:t>Sources / basis: S17-S18</w:t>
      </w:r>
    </w:p>
    <w:p>
      <w:r>
        <w:br w:type="page"/>
      </w:r>
    </w:p>
    <w:p>
      <w:pPr>
        <w:pStyle w:val="Heading1"/>
      </w:pPr>
      <w:r>
        <w:t>55. Food, Health and Insurance Compliance</w:t>
      </w:r>
    </w:p>
    <w:p>
      <w:pPr>
        <w:spacing w:after="100"/>
      </w:pPr>
      <w:r>
        <w:t>Food operations require FoSCoS/FSSAI compliance. Healthcare should be structured with appropriate professional registrations and consent. The business should carry property, public liability, professional liability, personal accident and other insurance appropriate to its final activities.</w:t>
      </w:r>
    </w:p>
    <w:p>
      <w:pPr>
        <w:spacing w:after="100"/>
      </w:pPr>
      <w:r>
        <w:t>Insurance requirements should be quoted by a broker after the legal entity structure and programme scope are final.</w:t>
      </w:r>
    </w:p>
    <w:p>
      <w:r>
        <w:rPr>
          <w:i/>
          <w:color w:val="646464"/>
          <w:sz w:val="14"/>
        </w:rPr>
        <w:t>Sources / basis: S22</w:t>
      </w:r>
    </w:p>
    <w:p>
      <w:r>
        <w:br w:type="page"/>
      </w:r>
    </w:p>
    <w:p>
      <w:pPr>
        <w:pStyle w:val="Heading1"/>
      </w:pPr>
      <w:r>
        <w:t>56. Land, Planning and Construction Due Diligence</w:t>
      </w:r>
    </w:p>
    <w:p>
      <w:pPr>
        <w:spacing w:after="100"/>
      </w:pPr>
      <w:r>
        <w:t>Before a Rs.500 Cr land financing assumption is used in any lender document, an independent registered valuation, title report, encumbrance search, land-use/zoning review and planning feasibility report are essential.</w:t>
      </w:r>
    </w:p>
    <w:p>
      <w:pPr>
        <w:spacing w:after="100"/>
      </w:pPr>
      <w:r>
        <w:t>The sports-ground design also requires topographic survey, soil/geotechnical investigation, drainage, water, power, access, parking, fire and construction BOQ.</w:t>
      </w:r>
    </w:p>
    <w:p>
      <w:r>
        <w:br w:type="page"/>
      </w:r>
    </w:p>
    <w:p>
      <w:pPr>
        <w:pStyle w:val="Heading1"/>
      </w:pPr>
      <w:r>
        <w:t>57. Implementation Roadmap</w:t>
      </w:r>
    </w:p>
    <w:p>
      <w:pPr>
        <w:spacing w:after="100"/>
      </w:pPr>
      <w:r>
        <w:t>Phase 0 - 90-day feasibility: title/valuation, GIS school map, parent survey, competitor audit, legal notes, concept masterplan, surface/MEP BOQ and pilot sales.</w:t>
      </w:r>
    </w:p>
    <w:p>
      <w:pPr>
        <w:spacing w:after="100"/>
      </w:pPr>
      <w:r>
        <w:t>Phase 1 - sports + after-school + cafe + medical room. Phase 2 - covered indoor sports, academics, leadership and B2B. Phase 3 - residential after legal validation. Phase 4 - grandparents village and expanded health services.</w:t>
      </w:r>
    </w:p>
    <w:p>
      <w:r>
        <w:br w:type="page"/>
      </w:r>
    </w:p>
    <w:p>
      <w:pPr>
        <w:pStyle w:val="Heading1"/>
      </w:pPr>
      <w:r>
        <w:t>58. Key Performance Indicators</w:t>
      </w:r>
    </w:p>
    <w:p>
      <w:pPr>
        <w:spacing w:after="100"/>
      </w:pPr>
      <w:r>
        <w:t>Management should track revenue and child outcomes together. Commercial KPIs include active families, ARPU, retention, occupancy, rental hours, school contracts, lead conversion and EBITDA. Safety KPIs include background-check completion, incident response time, medical incidents, drill compliance and safeguarding actions.</w:t>
      </w:r>
    </w:p>
    <w:tbl>
      <w:tblPr>
        <w:tblStyle w:val="TableGrid"/>
        <w:tblW w:type="auto" w:w="0"/>
        <w:jc w:val="center"/>
        <w:tblLook w:firstColumn="1" w:firstRow="1" w:lastColumn="0" w:lastRow="0" w:noHBand="0" w:noVBand="1" w:val="04A0"/>
      </w:tblPr>
      <w:tblGrid>
        <w:gridCol w:w="5256"/>
        <w:gridCol w:w="5256"/>
      </w:tblGrid>
      <w:tr>
        <w:tc>
          <w:tcPr>
            <w:tcW w:type="dxa" w:w="5256"/>
            <w:shd w:fill="18304A"/>
          </w:tcPr>
          <w:p>
            <w:r>
              <w:rPr>
                <w:b/>
                <w:color w:val="FFFFFF"/>
                <w:sz w:val="14"/>
              </w:rPr>
              <w:t>Area</w:t>
            </w:r>
          </w:p>
        </w:tc>
        <w:tc>
          <w:tcPr>
            <w:tcW w:type="dxa" w:w="5256"/>
            <w:shd w:fill="18304A"/>
          </w:tcPr>
          <w:p>
            <w:r>
              <w:rPr>
                <w:b/>
                <w:color w:val="FFFFFF"/>
                <w:sz w:val="14"/>
              </w:rPr>
              <w:t>Example KPIs</w:t>
            </w:r>
          </w:p>
        </w:tc>
      </w:tr>
      <w:tr>
        <w:tc>
          <w:tcPr>
            <w:tcW w:type="dxa" w:w="5256"/>
            <w:vAlign w:val="center"/>
          </w:tcPr>
          <w:p>
            <w:r>
              <w:rPr>
                <w:sz w:val="14"/>
              </w:rPr>
              <w:t>Commercial</w:t>
            </w:r>
          </w:p>
        </w:tc>
        <w:tc>
          <w:tcPr>
            <w:tcW w:type="dxa" w:w="5256"/>
            <w:vAlign w:val="center"/>
          </w:tcPr>
          <w:p>
            <w:r>
              <w:rPr>
                <w:sz w:val="14"/>
              </w:rPr>
              <w:t>Revenue, ARPU, retention, CAC, occupancy, utilisation hours</w:t>
            </w:r>
          </w:p>
        </w:tc>
      </w:tr>
      <w:tr>
        <w:tc>
          <w:tcPr>
            <w:tcW w:type="dxa" w:w="5256"/>
            <w:vAlign w:val="center"/>
          </w:tcPr>
          <w:p>
            <w:r>
              <w:rPr>
                <w:sz w:val="14"/>
              </w:rPr>
              <w:t>Sports</w:t>
            </w:r>
          </w:p>
        </w:tc>
        <w:tc>
          <w:tcPr>
            <w:tcW w:type="dxa" w:w="5256"/>
            <w:vAlign w:val="center"/>
          </w:tcPr>
          <w:p>
            <w:r>
              <w:rPr>
                <w:sz w:val="14"/>
              </w:rPr>
              <w:t>Attendance, progression, testing, competition participation</w:t>
            </w:r>
          </w:p>
        </w:tc>
      </w:tr>
      <w:tr>
        <w:tc>
          <w:tcPr>
            <w:tcW w:type="dxa" w:w="5256"/>
            <w:vAlign w:val="center"/>
          </w:tcPr>
          <w:p>
            <w:r>
              <w:rPr>
                <w:sz w:val="14"/>
              </w:rPr>
              <w:t>Academics</w:t>
            </w:r>
          </w:p>
        </w:tc>
        <w:tc>
          <w:tcPr>
            <w:tcW w:type="dxa" w:w="5256"/>
            <w:vAlign w:val="center"/>
          </w:tcPr>
          <w:p>
            <w:r>
              <w:rPr>
                <w:sz w:val="14"/>
              </w:rPr>
              <w:t>Homework completion, assessment improvement, attendance</w:t>
            </w:r>
          </w:p>
        </w:tc>
      </w:tr>
      <w:tr>
        <w:tc>
          <w:tcPr>
            <w:tcW w:type="dxa" w:w="5256"/>
            <w:vAlign w:val="center"/>
          </w:tcPr>
          <w:p>
            <w:r>
              <w:rPr>
                <w:sz w:val="14"/>
              </w:rPr>
              <w:t>Family</w:t>
            </w:r>
          </w:p>
        </w:tc>
        <w:tc>
          <w:tcPr>
            <w:tcW w:type="dxa" w:w="5256"/>
            <w:vAlign w:val="center"/>
          </w:tcPr>
          <w:p>
            <w:r>
              <w:rPr>
                <w:sz w:val="14"/>
              </w:rPr>
              <w:t>Pickup compliance, meal satisfaction, transport punctuality</w:t>
            </w:r>
          </w:p>
        </w:tc>
      </w:tr>
      <w:tr>
        <w:tc>
          <w:tcPr>
            <w:tcW w:type="dxa" w:w="5256"/>
            <w:vAlign w:val="center"/>
          </w:tcPr>
          <w:p>
            <w:r>
              <w:rPr>
                <w:sz w:val="14"/>
              </w:rPr>
              <w:t>Safety</w:t>
            </w:r>
          </w:p>
        </w:tc>
        <w:tc>
          <w:tcPr>
            <w:tcW w:type="dxa" w:w="5256"/>
            <w:vAlign w:val="center"/>
          </w:tcPr>
          <w:p>
            <w:r>
              <w:rPr>
                <w:sz w:val="14"/>
              </w:rPr>
              <w:t>Background checks, incidents, drills, corrective actions</w:t>
            </w:r>
          </w:p>
        </w:tc>
      </w:tr>
      <w:tr>
        <w:tc>
          <w:tcPr>
            <w:tcW w:type="dxa" w:w="5256"/>
            <w:vAlign w:val="center"/>
          </w:tcPr>
          <w:p>
            <w:r>
              <w:rPr>
                <w:sz w:val="14"/>
              </w:rPr>
              <w:t>B2B</w:t>
            </w:r>
          </w:p>
        </w:tc>
        <w:tc>
          <w:tcPr>
            <w:tcW w:type="dxa" w:w="5256"/>
            <w:vAlign w:val="center"/>
          </w:tcPr>
          <w:p>
            <w:r>
              <w:rPr>
                <w:sz w:val="14"/>
              </w:rPr>
              <w:t>School contracts, corporate days, NGO/CSR projects</w:t>
            </w:r>
          </w:p>
        </w:tc>
      </w:tr>
    </w:tbl>
    <w:p>
      <w:r>
        <w:br w:type="page"/>
      </w:r>
    </w:p>
    <w:p>
      <w:pPr>
        <w:pStyle w:val="Heading1"/>
      </w:pPr>
      <w:r>
        <w:t>59. Risk Register</w:t>
      </w:r>
    </w:p>
    <w:p>
      <w:pPr>
        <w:spacing w:after="100"/>
      </w:pPr>
      <w:r>
        <w:t>Major risks are financial leverage, land valuation, residential regulation, child safeguarding, coach quality, under-utilised facilities, food/health compliance and competition. The recommended control is phased capital deployment with documented approval gates.</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Risk</w:t>
            </w:r>
          </w:p>
        </w:tc>
        <w:tc>
          <w:tcPr>
            <w:tcW w:type="dxa" w:w="3504"/>
            <w:shd w:fill="18304A"/>
          </w:tcPr>
          <w:p>
            <w:r>
              <w:rPr>
                <w:b/>
                <w:color w:val="FFFFFF"/>
                <w:sz w:val="14"/>
              </w:rPr>
              <w:t>Impact</w:t>
            </w:r>
          </w:p>
        </w:tc>
        <w:tc>
          <w:tcPr>
            <w:tcW w:type="dxa" w:w="3504"/>
            <w:shd w:fill="18304A"/>
          </w:tcPr>
          <w:p>
            <w:r>
              <w:rPr>
                <w:b/>
                <w:color w:val="FFFFFF"/>
                <w:sz w:val="14"/>
              </w:rPr>
              <w:t>Primary mitigation</w:t>
            </w:r>
          </w:p>
        </w:tc>
      </w:tr>
      <w:tr>
        <w:tc>
          <w:tcPr>
            <w:tcW w:type="dxa" w:w="3504"/>
            <w:vAlign w:val="center"/>
          </w:tcPr>
          <w:p>
            <w:r>
              <w:rPr>
                <w:sz w:val="14"/>
              </w:rPr>
              <w:t>Rs.650 Cr debt service</w:t>
            </w:r>
          </w:p>
        </w:tc>
        <w:tc>
          <w:tcPr>
            <w:tcW w:type="dxa" w:w="3504"/>
            <w:vAlign w:val="center"/>
          </w:tcPr>
          <w:p>
            <w:r>
              <w:rPr>
                <w:sz w:val="14"/>
              </w:rPr>
              <w:t>Very high</w:t>
            </w:r>
          </w:p>
        </w:tc>
        <w:tc>
          <w:tcPr>
            <w:tcW w:type="dxa" w:w="3504"/>
            <w:vAlign w:val="center"/>
          </w:tcPr>
          <w:p>
            <w:r>
              <w:rPr>
                <w:sz w:val="14"/>
              </w:rPr>
              <w:t>Separate asset SPV; lower operating leverage</w:t>
            </w:r>
          </w:p>
        </w:tc>
      </w:tr>
      <w:tr>
        <w:tc>
          <w:tcPr>
            <w:tcW w:type="dxa" w:w="3504"/>
            <w:vAlign w:val="center"/>
          </w:tcPr>
          <w:p>
            <w:r>
              <w:rPr>
                <w:sz w:val="14"/>
              </w:rPr>
              <w:t>Land/title/zoning</w:t>
            </w:r>
          </w:p>
        </w:tc>
        <w:tc>
          <w:tcPr>
            <w:tcW w:type="dxa" w:w="3504"/>
            <w:vAlign w:val="center"/>
          </w:tcPr>
          <w:p>
            <w:r>
              <w:rPr>
                <w:sz w:val="14"/>
              </w:rPr>
              <w:t>Very high</w:t>
            </w:r>
          </w:p>
        </w:tc>
        <w:tc>
          <w:tcPr>
            <w:tcW w:type="dxa" w:w="3504"/>
            <w:vAlign w:val="center"/>
          </w:tcPr>
          <w:p>
            <w:r>
              <w:rPr>
                <w:sz w:val="14"/>
              </w:rPr>
              <w:t>Legal/title/valuation/planning diligence</w:t>
            </w:r>
          </w:p>
        </w:tc>
      </w:tr>
      <w:tr>
        <w:tc>
          <w:tcPr>
            <w:tcW w:type="dxa" w:w="3504"/>
            <w:vAlign w:val="center"/>
          </w:tcPr>
          <w:p>
            <w:r>
              <w:rPr>
                <w:sz w:val="14"/>
              </w:rPr>
              <w:t>Residential children</w:t>
            </w:r>
          </w:p>
        </w:tc>
        <w:tc>
          <w:tcPr>
            <w:tcW w:type="dxa" w:w="3504"/>
            <w:vAlign w:val="center"/>
          </w:tcPr>
          <w:p>
            <w:r>
              <w:rPr>
                <w:sz w:val="14"/>
              </w:rPr>
              <w:t>Very high</w:t>
            </w:r>
          </w:p>
        </w:tc>
        <w:tc>
          <w:tcPr>
            <w:tcW w:type="dxa" w:w="3504"/>
            <w:vAlign w:val="center"/>
          </w:tcPr>
          <w:p>
            <w:r>
              <w:rPr>
                <w:sz w:val="14"/>
              </w:rPr>
              <w:t>Legal classification + safeguarding design</w:t>
            </w:r>
          </w:p>
        </w:tc>
      </w:tr>
      <w:tr>
        <w:tc>
          <w:tcPr>
            <w:tcW w:type="dxa" w:w="3504"/>
            <w:vAlign w:val="center"/>
          </w:tcPr>
          <w:p>
            <w:r>
              <w:rPr>
                <w:sz w:val="14"/>
              </w:rPr>
              <w:t>Utilisation</w:t>
            </w:r>
          </w:p>
        </w:tc>
        <w:tc>
          <w:tcPr>
            <w:tcW w:type="dxa" w:w="3504"/>
            <w:vAlign w:val="center"/>
          </w:tcPr>
          <w:p>
            <w:r>
              <w:rPr>
                <w:sz w:val="14"/>
              </w:rPr>
              <w:t>High</w:t>
            </w:r>
          </w:p>
        </w:tc>
        <w:tc>
          <w:tcPr>
            <w:tcW w:type="dxa" w:w="3504"/>
            <w:vAlign w:val="center"/>
          </w:tcPr>
          <w:p>
            <w:r>
              <w:rPr>
                <w:sz w:val="14"/>
              </w:rPr>
              <w:t>Multi-use spaces + B2B weekday sales</w:t>
            </w:r>
          </w:p>
        </w:tc>
      </w:tr>
      <w:tr>
        <w:tc>
          <w:tcPr>
            <w:tcW w:type="dxa" w:w="3504"/>
            <w:vAlign w:val="center"/>
          </w:tcPr>
          <w:p>
            <w:r>
              <w:rPr>
                <w:sz w:val="14"/>
              </w:rPr>
              <w:t>Coach quality</w:t>
            </w:r>
          </w:p>
        </w:tc>
        <w:tc>
          <w:tcPr>
            <w:tcW w:type="dxa" w:w="3504"/>
            <w:vAlign w:val="center"/>
          </w:tcPr>
          <w:p>
            <w:r>
              <w:rPr>
                <w:sz w:val="14"/>
              </w:rPr>
              <w:t>High</w:t>
            </w:r>
          </w:p>
        </w:tc>
        <w:tc>
          <w:tcPr>
            <w:tcW w:type="dxa" w:w="3504"/>
            <w:vAlign w:val="center"/>
          </w:tcPr>
          <w:p>
            <w:r>
              <w:rPr>
                <w:sz w:val="14"/>
              </w:rPr>
              <w:t>Technical director + coach standards + audits</w:t>
            </w:r>
          </w:p>
        </w:tc>
      </w:tr>
      <w:tr>
        <w:tc>
          <w:tcPr>
            <w:tcW w:type="dxa" w:w="3504"/>
            <w:vAlign w:val="center"/>
          </w:tcPr>
          <w:p>
            <w:r>
              <w:rPr>
                <w:sz w:val="14"/>
              </w:rPr>
              <w:t>Safety incident</w:t>
            </w:r>
          </w:p>
        </w:tc>
        <w:tc>
          <w:tcPr>
            <w:tcW w:type="dxa" w:w="3504"/>
            <w:vAlign w:val="center"/>
          </w:tcPr>
          <w:p>
            <w:r>
              <w:rPr>
                <w:sz w:val="14"/>
              </w:rPr>
              <w:t>Very high</w:t>
            </w:r>
          </w:p>
        </w:tc>
        <w:tc>
          <w:tcPr>
            <w:tcW w:type="dxa" w:w="3504"/>
            <w:vAlign w:val="center"/>
          </w:tcPr>
          <w:p>
            <w:r>
              <w:rPr>
                <w:sz w:val="14"/>
              </w:rPr>
              <w:t>Protocols, training, background checks, incident command</w:t>
            </w:r>
          </w:p>
        </w:tc>
      </w:tr>
      <w:tr>
        <w:tc>
          <w:tcPr>
            <w:tcW w:type="dxa" w:w="3504"/>
            <w:vAlign w:val="center"/>
          </w:tcPr>
          <w:p>
            <w:r>
              <w:rPr>
                <w:sz w:val="14"/>
              </w:rPr>
              <w:t>Food/health compliance</w:t>
            </w:r>
          </w:p>
        </w:tc>
        <w:tc>
          <w:tcPr>
            <w:tcW w:type="dxa" w:w="3504"/>
            <w:vAlign w:val="center"/>
          </w:tcPr>
          <w:p>
            <w:r>
              <w:rPr>
                <w:sz w:val="14"/>
              </w:rPr>
              <w:t>High</w:t>
            </w:r>
          </w:p>
        </w:tc>
        <w:tc>
          <w:tcPr>
            <w:tcW w:type="dxa" w:w="3504"/>
            <w:vAlign w:val="center"/>
          </w:tcPr>
          <w:p>
            <w:r>
              <w:rPr>
                <w:sz w:val="14"/>
              </w:rPr>
              <w:t>Licensed operations + partner clinicians</w:t>
            </w:r>
          </w:p>
        </w:tc>
      </w:tr>
    </w:tbl>
    <w:p>
      <w:r>
        <w:br w:type="page"/>
      </w:r>
    </w:p>
    <w:p>
      <w:pPr>
        <w:pStyle w:val="Heading1"/>
      </w:pPr>
      <w:r>
        <w:t>60. 90-Day Feasibility Sprint</w:t>
      </w:r>
    </w:p>
    <w:p>
      <w:pPr>
        <w:spacing w:after="100"/>
      </w:pPr>
      <w:r>
        <w:t>The next investment gate should not be construction; it should be evidence. A 90-day sprint can materially reduce uncertainty.</w:t>
      </w:r>
    </w:p>
    <w:p>
      <w:pPr>
        <w:pStyle w:val="ListBullet"/>
      </w:pPr>
      <w:r>
        <w:t>Independent land valuation and title/legal report.</w:t>
      </w:r>
    </w:p>
    <w:p>
      <w:pPr>
        <w:pStyle w:val="ListBullet"/>
      </w:pPr>
      <w:r>
        <w:t>GIS 5-km catchment map and UDISE-validated school database.</w:t>
      </w:r>
    </w:p>
    <w:p>
      <w:pPr>
        <w:pStyle w:val="ListBullet"/>
      </w:pPr>
      <w:r>
        <w:t>Minimum 300-parent survey and 30-50 parent depth interviews.</w:t>
      </w:r>
    </w:p>
    <w:p>
      <w:pPr>
        <w:pStyle w:val="ListBullet"/>
      </w:pPr>
      <w:r>
        <w:t>Competitor calls/site visits for sports, tuition, clubs, senior care and rental.</w:t>
      </w:r>
    </w:p>
    <w:p>
      <w:pPr>
        <w:pStyle w:val="ListBullet"/>
      </w:pPr>
      <w:r>
        <w:t>Vendor quotations for drainage, turf, synthetic, indoor building, kitchen, IT/security and transport.</w:t>
      </w:r>
    </w:p>
    <w:p>
      <w:pPr>
        <w:pStyle w:val="ListBullet"/>
      </w:pPr>
      <w:r>
        <w:t>Karnataka-specific legal note for after-school and residential children.</w:t>
      </w:r>
    </w:p>
    <w:p>
      <w:pPr>
        <w:pStyle w:val="ListBullet"/>
      </w:pPr>
      <w:r>
        <w:t>Pilot LOIs from schools, residential communities and corporates.</w:t>
      </w:r>
    </w:p>
    <w:p>
      <w:pPr>
        <w:pStyle w:val="ListBullet"/>
      </w:pPr>
      <w:r>
        <w:t>Revised lender-ready 10-year model with capex drawdown and scenario sensitivities.</w:t>
      </w:r>
    </w:p>
    <w:p>
      <w:r>
        <w:br w:type="page"/>
      </w:r>
    </w:p>
    <w:p>
      <w:pPr>
        <w:pStyle w:val="Heading1"/>
      </w:pPr>
      <w:r>
        <w:t>61. Investment Conclusion</w:t>
      </w:r>
    </w:p>
    <w:p>
      <w:pPr>
        <w:spacing w:after="100"/>
      </w:pPr>
      <w:r>
        <w:t>The integrated family model is strategically stronger than a stand-alone sports academy because it increases daily utilisation, creates recurring revenue and builds a trust-based relationship with the household. The project can begin at age four and offer access to every LA28 Olympic sport through a mix of on-site and partner delivery.</w:t>
      </w:r>
    </w:p>
    <w:p>
      <w:pPr>
        <w:spacing w:after="100"/>
      </w:pPr>
      <w:r>
        <w:t>However, the current operating economics do not justify Rs.650 Cr of 10-year debt. The most investable version separates land economics from operations, phases infrastructure and proves demand before large capital deployment.</w:t>
      </w:r>
    </w:p>
    <w:p>
      <w:r>
        <w:br w:type="page"/>
      </w:r>
    </w:p>
    <w:p>
      <w:pPr>
        <w:pStyle w:val="Heading1"/>
      </w:pPr>
      <w:r>
        <w:t>62. Appendix A - Security Checklist</w:t>
      </w:r>
    </w:p>
    <w:p>
      <w:pPr>
        <w:spacing w:after="100"/>
      </w:pPr>
      <w:r>
        <w:t>Use this checklist at opening and quarterly safety walks.</w:t>
      </w:r>
    </w:p>
    <w:tbl>
      <w:tblPr>
        <w:tblStyle w:val="TableGrid"/>
        <w:tblW w:type="auto" w:w="0"/>
        <w:jc w:val="center"/>
        <w:tblLook w:firstColumn="1" w:firstRow="1" w:lastColumn="0" w:lastRow="0" w:noHBand="0" w:noVBand="1" w:val="04A0"/>
      </w:tblPr>
      <w:tblGrid>
        <w:gridCol w:w="5256"/>
        <w:gridCol w:w="5256"/>
      </w:tblGrid>
      <w:tr>
        <w:tc>
          <w:tcPr>
            <w:tcW w:type="dxa" w:w="5256"/>
            <w:shd w:fill="18304A"/>
          </w:tcPr>
          <w:p>
            <w:r>
              <w:rPr>
                <w:b/>
                <w:color w:val="FFFFFF"/>
                <w:sz w:val="14"/>
              </w:rPr>
              <w:t>Control</w:t>
            </w:r>
          </w:p>
        </w:tc>
        <w:tc>
          <w:tcPr>
            <w:tcW w:type="dxa" w:w="5256"/>
            <w:shd w:fill="18304A"/>
          </w:tcPr>
          <w:p>
            <w:r>
              <w:rPr>
                <w:b/>
                <w:color w:val="FFFFFF"/>
                <w:sz w:val="14"/>
              </w:rPr>
              <w:t>Evidence required</w:t>
            </w:r>
          </w:p>
        </w:tc>
      </w:tr>
      <w:tr>
        <w:tc>
          <w:tcPr>
            <w:tcW w:type="dxa" w:w="5256"/>
            <w:vAlign w:val="center"/>
          </w:tcPr>
          <w:p>
            <w:r>
              <w:rPr>
                <w:sz w:val="14"/>
              </w:rPr>
              <w:t>Background verification</w:t>
            </w:r>
          </w:p>
        </w:tc>
        <w:tc>
          <w:tcPr>
            <w:tcW w:type="dxa" w:w="5256"/>
            <w:vAlign w:val="center"/>
          </w:tcPr>
          <w:p>
            <w:r>
              <w:rPr>
                <w:sz w:val="14"/>
              </w:rPr>
              <w:t>Police/background verification file for all child-contact staff</w:t>
            </w:r>
          </w:p>
        </w:tc>
      </w:tr>
      <w:tr>
        <w:tc>
          <w:tcPr>
            <w:tcW w:type="dxa" w:w="5256"/>
            <w:vAlign w:val="center"/>
          </w:tcPr>
          <w:p>
            <w:r>
              <w:rPr>
                <w:sz w:val="14"/>
              </w:rPr>
              <w:t>PSARA</w:t>
            </w:r>
          </w:p>
        </w:tc>
        <w:tc>
          <w:tcPr>
            <w:tcW w:type="dxa" w:w="5256"/>
            <w:vAlign w:val="center"/>
          </w:tcPr>
          <w:p>
            <w:r>
              <w:rPr>
                <w:sz w:val="14"/>
              </w:rPr>
              <w:t>Valid security-agency licence / contract compliance</w:t>
            </w:r>
          </w:p>
        </w:tc>
      </w:tr>
      <w:tr>
        <w:tc>
          <w:tcPr>
            <w:tcW w:type="dxa" w:w="5256"/>
            <w:vAlign w:val="center"/>
          </w:tcPr>
          <w:p>
            <w:r>
              <w:rPr>
                <w:sz w:val="14"/>
              </w:rPr>
              <w:t>Gate log</w:t>
            </w:r>
          </w:p>
        </w:tc>
        <w:tc>
          <w:tcPr>
            <w:tcW w:type="dxa" w:w="5256"/>
            <w:vAlign w:val="center"/>
          </w:tcPr>
          <w:p>
            <w:r>
              <w:rPr>
                <w:sz w:val="14"/>
              </w:rPr>
              <w:t>Visitor/parent entry-exit record</w:t>
            </w:r>
          </w:p>
        </w:tc>
      </w:tr>
      <w:tr>
        <w:tc>
          <w:tcPr>
            <w:tcW w:type="dxa" w:w="5256"/>
            <w:vAlign w:val="center"/>
          </w:tcPr>
          <w:p>
            <w:r>
              <w:rPr>
                <w:sz w:val="14"/>
              </w:rPr>
              <w:t>Pickup control</w:t>
            </w:r>
          </w:p>
        </w:tc>
        <w:tc>
          <w:tcPr>
            <w:tcW w:type="dxa" w:w="5256"/>
            <w:vAlign w:val="center"/>
          </w:tcPr>
          <w:p>
            <w:r>
              <w:rPr>
                <w:sz w:val="14"/>
              </w:rPr>
              <w:t>Approved pickup list and exception log</w:t>
            </w:r>
          </w:p>
        </w:tc>
      </w:tr>
      <w:tr>
        <w:tc>
          <w:tcPr>
            <w:tcW w:type="dxa" w:w="5256"/>
            <w:vAlign w:val="center"/>
          </w:tcPr>
          <w:p>
            <w:r>
              <w:rPr>
                <w:sz w:val="14"/>
              </w:rPr>
              <w:t>CCTV</w:t>
            </w:r>
          </w:p>
        </w:tc>
        <w:tc>
          <w:tcPr>
            <w:tcW w:type="dxa" w:w="5256"/>
            <w:vAlign w:val="center"/>
          </w:tcPr>
          <w:p>
            <w:r>
              <w:rPr>
                <w:sz w:val="14"/>
              </w:rPr>
              <w:t>Camera map, retention policy, access audit</w:t>
            </w:r>
          </w:p>
        </w:tc>
      </w:tr>
      <w:tr>
        <w:tc>
          <w:tcPr>
            <w:tcW w:type="dxa" w:w="5256"/>
            <w:vAlign w:val="center"/>
          </w:tcPr>
          <w:p>
            <w:r>
              <w:rPr>
                <w:sz w:val="14"/>
              </w:rPr>
              <w:t>Fire</w:t>
            </w:r>
          </w:p>
        </w:tc>
        <w:tc>
          <w:tcPr>
            <w:tcW w:type="dxa" w:w="5256"/>
            <w:vAlign w:val="center"/>
          </w:tcPr>
          <w:p>
            <w:r>
              <w:rPr>
                <w:sz w:val="14"/>
              </w:rPr>
              <w:t>Inspection log, extinguishers, alarm, evacuation drill</w:t>
            </w:r>
          </w:p>
        </w:tc>
      </w:tr>
      <w:tr>
        <w:tc>
          <w:tcPr>
            <w:tcW w:type="dxa" w:w="5256"/>
            <w:vAlign w:val="center"/>
          </w:tcPr>
          <w:p>
            <w:r>
              <w:rPr>
                <w:sz w:val="14"/>
              </w:rPr>
              <w:t>Medical</w:t>
            </w:r>
          </w:p>
        </w:tc>
        <w:tc>
          <w:tcPr>
            <w:tcW w:type="dxa" w:w="5256"/>
            <w:vAlign w:val="center"/>
          </w:tcPr>
          <w:p>
            <w:r>
              <w:rPr>
                <w:sz w:val="14"/>
              </w:rPr>
              <w:t>First-aid/AED checks, hospital tie-up, incident log</w:t>
            </w:r>
          </w:p>
        </w:tc>
      </w:tr>
      <w:tr>
        <w:tc>
          <w:tcPr>
            <w:tcW w:type="dxa" w:w="5256"/>
            <w:vAlign w:val="center"/>
          </w:tcPr>
          <w:p>
            <w:r>
              <w:rPr>
                <w:sz w:val="14"/>
              </w:rPr>
              <w:t>Transport</w:t>
            </w:r>
          </w:p>
        </w:tc>
        <w:tc>
          <w:tcPr>
            <w:tcW w:type="dxa" w:w="5256"/>
            <w:vAlign w:val="center"/>
          </w:tcPr>
          <w:p>
            <w:r>
              <w:rPr>
                <w:sz w:val="14"/>
              </w:rPr>
              <w:t>Driver/attendant files, GPS, vehicle checklist</w:t>
            </w:r>
          </w:p>
        </w:tc>
      </w:tr>
      <w:tr>
        <w:tc>
          <w:tcPr>
            <w:tcW w:type="dxa" w:w="5256"/>
            <w:vAlign w:val="center"/>
          </w:tcPr>
          <w:p>
            <w:r>
              <w:rPr>
                <w:sz w:val="14"/>
              </w:rPr>
              <w:t>Residential</w:t>
            </w:r>
          </w:p>
        </w:tc>
        <w:tc>
          <w:tcPr>
            <w:tcW w:type="dxa" w:w="5256"/>
            <w:vAlign w:val="center"/>
          </w:tcPr>
          <w:p>
            <w:r>
              <w:rPr>
                <w:sz w:val="14"/>
              </w:rPr>
              <w:t>Warden rosters, access control, night logs</w:t>
            </w:r>
          </w:p>
        </w:tc>
      </w:tr>
      <w:tr>
        <w:tc>
          <w:tcPr>
            <w:tcW w:type="dxa" w:w="5256"/>
            <w:vAlign w:val="center"/>
          </w:tcPr>
          <w:p>
            <w:r>
              <w:rPr>
                <w:sz w:val="14"/>
              </w:rPr>
              <w:t>Training</w:t>
            </w:r>
          </w:p>
        </w:tc>
        <w:tc>
          <w:tcPr>
            <w:tcW w:type="dxa" w:w="5256"/>
            <w:vAlign w:val="center"/>
          </w:tcPr>
          <w:p>
            <w:r>
              <w:rPr>
                <w:sz w:val="14"/>
              </w:rPr>
              <w:t>POCSO/safeguarding/fire/first-aid attendance</w:t>
            </w:r>
          </w:p>
        </w:tc>
      </w:tr>
    </w:tbl>
    <w:p>
      <w:r>
        <w:rPr>
          <w:i/>
          <w:color w:val="646464"/>
          <w:sz w:val="14"/>
        </w:rPr>
        <w:t>Sources / basis: S17-S20</w:t>
      </w:r>
    </w:p>
    <w:p>
      <w:r>
        <w:br w:type="page"/>
      </w:r>
    </w:p>
    <w:p>
      <w:pPr>
        <w:pStyle w:val="Heading1"/>
      </w:pPr>
      <w:r>
        <w:t>63. Appendix B - Parent Survey Questions</w:t>
      </w:r>
    </w:p>
    <w:p>
      <w:pPr>
        <w:spacing w:after="100"/>
      </w:pPr>
      <w:r>
        <w:t>Recommended survey topics: current after-school arrangement, monthly spend, preferred sports, academic support, transport, meals, latest pickup time, willingness to use residential care, grandparent services, health services, membership and willingness-to-pay.</w:t>
      </w:r>
    </w:p>
    <w:p>
      <w:r>
        <w:br w:type="page"/>
      </w:r>
    </w:p>
    <w:p>
      <w:pPr>
        <w:pStyle w:val="Heading1"/>
      </w:pPr>
      <w:r>
        <w:t>64. Appendix C - School Database Fields</w:t>
      </w:r>
    </w:p>
    <w:p>
      <w:pPr>
        <w:spacing w:after="100"/>
      </w:pPr>
      <w:r>
        <w:t>School name, UDISE code, address, board, grades, verified enrolment, principal, PE head, school closing time, existing sports, after-school clubs, transport, distance/travel time, fee band and partnership status.</w:t>
      </w:r>
    </w:p>
    <w:p>
      <w:r>
        <w:rPr>
          <w:i/>
          <w:color w:val="646464"/>
          <w:sz w:val="14"/>
        </w:rPr>
        <w:t>Sources / basis: S04-S05</w:t>
      </w:r>
    </w:p>
    <w:p>
      <w:r>
        <w:br w:type="page"/>
      </w:r>
    </w:p>
    <w:p>
      <w:pPr>
        <w:pStyle w:val="Heading1"/>
      </w:pPr>
      <w:r>
        <w:t>65. Appendix D - Google Trends Research Method</w:t>
      </w:r>
    </w:p>
    <w:p>
      <w:pPr>
        <w:spacing w:after="100"/>
      </w:pPr>
      <w:r>
        <w:t>Google Trends should compare relative search interest for football academy, cricket academy, badminton academy, hockey academy, tuition, after-school care, kids activities, swimming, gymnastics, skating, sports camp and related terms at Bengaluru/Karnataka level. It is a relative index and not an absolute query count.</w:t>
      </w:r>
    </w:p>
    <w:p>
      <w:r>
        <w:rPr>
          <w:i/>
          <w:color w:val="646464"/>
          <w:sz w:val="14"/>
        </w:rPr>
        <w:t>Sources / basis: S24-S25</w:t>
      </w:r>
    </w:p>
    <w:p>
      <w:r>
        <w:br w:type="page"/>
      </w:r>
    </w:p>
    <w:p>
      <w:pPr>
        <w:pStyle w:val="Heading1"/>
      </w:pPr>
      <w:r>
        <w:t>66. Appendix E - Data Confidence Register</w:t>
      </w:r>
    </w:p>
    <w:p>
      <w:pPr>
        <w:spacing w:after="100"/>
      </w:pPr>
      <w:r>
        <w:t>Every model input should be tagged High, Medium or Low confidence. High: official published facts. Medium: provider price or verified contract quote. Low: management assumption until validated. The Excel model retains source IDs and editable yellow input cells.</w:t>
      </w:r>
    </w:p>
    <w:p>
      <w:r>
        <w:br w:type="page"/>
      </w:r>
    </w:p>
    <w:p>
      <w:pPr>
        <w:pStyle w:val="Heading1"/>
      </w:pPr>
      <w:r>
        <w:t>67. Appendix F - Manpower Summary</w:t>
      </w:r>
    </w:p>
    <w:p>
      <w:pPr>
        <w:spacing w:after="100"/>
      </w:pPr>
      <w:r>
        <w:t>The mature model contains roughly 188 FTE-equivalent roles across leadership, coaching, academics, residential, security, housekeeping, grounds, food, healthcare, transport and IT/facilities. Some roles can be outsourced or part-time, especially visiting Olympic specialists.</w:t>
      </w:r>
    </w:p>
    <w:tbl>
      <w:tblPr>
        <w:tblStyle w:val="TableGrid"/>
        <w:tblW w:type="auto" w:w="0"/>
        <w:jc w:val="center"/>
        <w:tblLook w:firstColumn="1" w:firstRow="1" w:lastColumn="0" w:lastRow="0" w:noHBand="0" w:noVBand="1" w:val="04A0"/>
      </w:tblPr>
      <w:tblGrid>
        <w:gridCol w:w="5256"/>
        <w:gridCol w:w="5256"/>
      </w:tblGrid>
      <w:tr>
        <w:tc>
          <w:tcPr>
            <w:tcW w:type="dxa" w:w="5256"/>
            <w:shd w:fill="18304A"/>
          </w:tcPr>
          <w:p>
            <w:r>
              <w:rPr>
                <w:b/>
                <w:color w:val="FFFFFF"/>
                <w:sz w:val="14"/>
              </w:rPr>
              <w:t>Function</w:t>
            </w:r>
          </w:p>
        </w:tc>
        <w:tc>
          <w:tcPr>
            <w:tcW w:type="dxa" w:w="5256"/>
            <w:shd w:fill="18304A"/>
          </w:tcPr>
          <w:p>
            <w:r>
              <w:rPr>
                <w:b/>
                <w:color w:val="FFFFFF"/>
                <w:sz w:val="14"/>
              </w:rPr>
              <w:t>Indicative FTE</w:t>
            </w:r>
          </w:p>
        </w:tc>
      </w:tr>
      <w:tr>
        <w:tc>
          <w:tcPr>
            <w:tcW w:type="dxa" w:w="5256"/>
            <w:vAlign w:val="center"/>
          </w:tcPr>
          <w:p>
            <w:r>
              <w:rPr>
                <w:sz w:val="14"/>
              </w:rPr>
              <w:t>Management/Admin</w:t>
            </w:r>
          </w:p>
        </w:tc>
        <w:tc>
          <w:tcPr>
            <w:tcW w:type="dxa" w:w="5256"/>
            <w:vAlign w:val="center"/>
          </w:tcPr>
          <w:p>
            <w:r>
              <w:rPr>
                <w:sz w:val="14"/>
              </w:rPr>
              <w:t>15</w:t>
            </w:r>
          </w:p>
        </w:tc>
      </w:tr>
      <w:tr>
        <w:tc>
          <w:tcPr>
            <w:tcW w:type="dxa" w:w="5256"/>
            <w:vAlign w:val="center"/>
          </w:tcPr>
          <w:p>
            <w:r>
              <w:rPr>
                <w:sz w:val="14"/>
              </w:rPr>
              <w:t>Sports</w:t>
            </w:r>
          </w:p>
        </w:tc>
        <w:tc>
          <w:tcPr>
            <w:tcW w:type="dxa" w:w="5256"/>
            <w:vAlign w:val="center"/>
          </w:tcPr>
          <w:p>
            <w:r>
              <w:rPr>
                <w:sz w:val="14"/>
              </w:rPr>
              <w:t>47</w:t>
            </w:r>
          </w:p>
        </w:tc>
      </w:tr>
      <w:tr>
        <w:tc>
          <w:tcPr>
            <w:tcW w:type="dxa" w:w="5256"/>
            <w:vAlign w:val="center"/>
          </w:tcPr>
          <w:p>
            <w:r>
              <w:rPr>
                <w:sz w:val="14"/>
              </w:rPr>
              <w:t>Academics</w:t>
            </w:r>
          </w:p>
        </w:tc>
        <w:tc>
          <w:tcPr>
            <w:tcW w:type="dxa" w:w="5256"/>
            <w:vAlign w:val="center"/>
          </w:tcPr>
          <w:p>
            <w:r>
              <w:rPr>
                <w:sz w:val="14"/>
              </w:rPr>
              <w:t>24</w:t>
            </w:r>
          </w:p>
        </w:tc>
      </w:tr>
      <w:tr>
        <w:tc>
          <w:tcPr>
            <w:tcW w:type="dxa" w:w="5256"/>
            <w:vAlign w:val="center"/>
          </w:tcPr>
          <w:p>
            <w:r>
              <w:rPr>
                <w:sz w:val="14"/>
              </w:rPr>
              <w:t>Residential</w:t>
            </w:r>
          </w:p>
        </w:tc>
        <w:tc>
          <w:tcPr>
            <w:tcW w:type="dxa" w:w="5256"/>
            <w:vAlign w:val="center"/>
          </w:tcPr>
          <w:p>
            <w:r>
              <w:rPr>
                <w:sz w:val="14"/>
              </w:rPr>
              <w:t>18</w:t>
            </w:r>
          </w:p>
        </w:tc>
      </w:tr>
      <w:tr>
        <w:tc>
          <w:tcPr>
            <w:tcW w:type="dxa" w:w="5256"/>
            <w:vAlign w:val="center"/>
          </w:tcPr>
          <w:p>
            <w:r>
              <w:rPr>
                <w:sz w:val="14"/>
              </w:rPr>
              <w:t>Security</w:t>
            </w:r>
          </w:p>
        </w:tc>
        <w:tc>
          <w:tcPr>
            <w:tcW w:type="dxa" w:w="5256"/>
            <w:vAlign w:val="center"/>
          </w:tcPr>
          <w:p>
            <w:r>
              <w:rPr>
                <w:sz w:val="14"/>
              </w:rPr>
              <w:t>24</w:t>
            </w:r>
          </w:p>
        </w:tc>
      </w:tr>
      <w:tr>
        <w:tc>
          <w:tcPr>
            <w:tcW w:type="dxa" w:w="5256"/>
            <w:vAlign w:val="center"/>
          </w:tcPr>
          <w:p>
            <w:r>
              <w:rPr>
                <w:sz w:val="14"/>
              </w:rPr>
              <w:t>Housekeeping</w:t>
            </w:r>
          </w:p>
        </w:tc>
        <w:tc>
          <w:tcPr>
            <w:tcW w:type="dxa" w:w="5256"/>
            <w:vAlign w:val="center"/>
          </w:tcPr>
          <w:p>
            <w:r>
              <w:rPr>
                <w:sz w:val="14"/>
              </w:rPr>
              <w:t>19</w:t>
            </w:r>
          </w:p>
        </w:tc>
      </w:tr>
      <w:tr>
        <w:tc>
          <w:tcPr>
            <w:tcW w:type="dxa" w:w="5256"/>
            <w:vAlign w:val="center"/>
          </w:tcPr>
          <w:p>
            <w:r>
              <w:rPr>
                <w:sz w:val="14"/>
              </w:rPr>
              <w:t>Grounds</w:t>
            </w:r>
          </w:p>
        </w:tc>
        <w:tc>
          <w:tcPr>
            <w:tcW w:type="dxa" w:w="5256"/>
            <w:vAlign w:val="center"/>
          </w:tcPr>
          <w:p>
            <w:r>
              <w:rPr>
                <w:sz w:val="14"/>
              </w:rPr>
              <w:t>9</w:t>
            </w:r>
          </w:p>
        </w:tc>
      </w:tr>
      <w:tr>
        <w:tc>
          <w:tcPr>
            <w:tcW w:type="dxa" w:w="5256"/>
            <w:vAlign w:val="center"/>
          </w:tcPr>
          <w:p>
            <w:r>
              <w:rPr>
                <w:sz w:val="14"/>
              </w:rPr>
              <w:t>Food</w:t>
            </w:r>
          </w:p>
        </w:tc>
        <w:tc>
          <w:tcPr>
            <w:tcW w:type="dxa" w:w="5256"/>
            <w:vAlign w:val="center"/>
          </w:tcPr>
          <w:p>
            <w:r>
              <w:rPr>
                <w:sz w:val="14"/>
              </w:rPr>
              <w:t>12</w:t>
            </w:r>
          </w:p>
        </w:tc>
      </w:tr>
      <w:tr>
        <w:tc>
          <w:tcPr>
            <w:tcW w:type="dxa" w:w="5256"/>
            <w:vAlign w:val="center"/>
          </w:tcPr>
          <w:p>
            <w:r>
              <w:rPr>
                <w:sz w:val="14"/>
              </w:rPr>
              <w:t>Healthcare</w:t>
            </w:r>
          </w:p>
        </w:tc>
        <w:tc>
          <w:tcPr>
            <w:tcW w:type="dxa" w:w="5256"/>
            <w:vAlign w:val="center"/>
          </w:tcPr>
          <w:p>
            <w:r>
              <w:rPr>
                <w:sz w:val="14"/>
              </w:rPr>
              <w:t>3</w:t>
            </w:r>
          </w:p>
        </w:tc>
      </w:tr>
      <w:tr>
        <w:tc>
          <w:tcPr>
            <w:tcW w:type="dxa" w:w="5256"/>
            <w:vAlign w:val="center"/>
          </w:tcPr>
          <w:p>
            <w:r>
              <w:rPr>
                <w:sz w:val="14"/>
              </w:rPr>
              <w:t>Transport</w:t>
            </w:r>
          </w:p>
        </w:tc>
        <w:tc>
          <w:tcPr>
            <w:tcW w:type="dxa" w:w="5256"/>
            <w:vAlign w:val="center"/>
          </w:tcPr>
          <w:p>
            <w:r>
              <w:rPr>
                <w:sz w:val="14"/>
              </w:rPr>
              <w:t>13</w:t>
            </w:r>
          </w:p>
        </w:tc>
      </w:tr>
      <w:tr>
        <w:tc>
          <w:tcPr>
            <w:tcW w:type="dxa" w:w="5256"/>
            <w:vAlign w:val="center"/>
          </w:tcPr>
          <w:p>
            <w:r>
              <w:rPr>
                <w:sz w:val="14"/>
              </w:rPr>
              <w:t>IT/Facilities</w:t>
            </w:r>
          </w:p>
        </w:tc>
        <w:tc>
          <w:tcPr>
            <w:tcW w:type="dxa" w:w="5256"/>
            <w:vAlign w:val="center"/>
          </w:tcPr>
          <w:p>
            <w:r>
              <w:rPr>
                <w:sz w:val="14"/>
              </w:rPr>
              <w:t>5</w:t>
            </w:r>
          </w:p>
        </w:tc>
      </w:tr>
    </w:tbl>
    <w:p>
      <w:r>
        <w:br w:type="page"/>
      </w:r>
    </w:p>
    <w:p>
      <w:pPr>
        <w:pStyle w:val="Heading1"/>
      </w:pPr>
      <w:r>
        <w:t>68. Appendix G - Source Bibliography</w:t>
      </w:r>
    </w:p>
    <w:p>
      <w:pPr>
        <w:spacing w:after="100"/>
      </w:pPr>
      <w:r>
        <w:t>Source IDs in the report and Excel model refer to the bibliography below.</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2628"/>
            <w:shd w:fill="18304A"/>
          </w:tcPr>
          <w:p>
            <w:r>
              <w:rPr>
                <w:b/>
                <w:color w:val="FFFFFF"/>
                <w:sz w:val="14"/>
              </w:rPr>
              <w:t>ID</w:t>
            </w:r>
          </w:p>
        </w:tc>
        <w:tc>
          <w:tcPr>
            <w:tcW w:type="dxa" w:w="2628"/>
            <w:shd w:fill="18304A"/>
          </w:tcPr>
          <w:p>
            <w:r>
              <w:rPr>
                <w:b/>
                <w:color w:val="FFFFFF"/>
                <w:sz w:val="14"/>
              </w:rPr>
              <w:t>Source</w:t>
            </w:r>
          </w:p>
        </w:tc>
        <w:tc>
          <w:tcPr>
            <w:tcW w:type="dxa" w:w="2628"/>
            <w:shd w:fill="18304A"/>
          </w:tcPr>
          <w:p>
            <w:r>
              <w:rPr>
                <w:b/>
                <w:color w:val="FFFFFF"/>
                <w:sz w:val="14"/>
              </w:rPr>
              <w:t>Quality</w:t>
            </w:r>
          </w:p>
        </w:tc>
        <w:tc>
          <w:tcPr>
            <w:tcW w:type="dxa" w:w="2628"/>
            <w:shd w:fill="18304A"/>
          </w:tcPr>
          <w:p>
            <w:r>
              <w:rPr>
                <w:b/>
                <w:color w:val="FFFFFF"/>
                <w:sz w:val="14"/>
              </w:rPr>
              <w:t>URL</w:t>
            </w:r>
          </w:p>
        </w:tc>
      </w:tr>
      <w:tr>
        <w:tc>
          <w:tcPr>
            <w:tcW w:type="dxa" w:w="2628"/>
            <w:vAlign w:val="center"/>
          </w:tcPr>
          <w:p>
            <w:r>
              <w:rPr>
                <w:sz w:val="14"/>
              </w:rPr>
              <w:t>S01</w:t>
            </w:r>
          </w:p>
        </w:tc>
        <w:tc>
          <w:tcPr>
            <w:tcW w:type="dxa" w:w="2628"/>
            <w:vAlign w:val="center"/>
          </w:tcPr>
          <w:p>
            <w:r>
              <w:rPr>
                <w:sz w:val="14"/>
              </w:rPr>
              <w:t>Olympics.com - LA28 sports update</w:t>
            </w:r>
          </w:p>
        </w:tc>
        <w:tc>
          <w:tcPr>
            <w:tcW w:type="dxa" w:w="2628"/>
            <w:vAlign w:val="center"/>
          </w:tcPr>
          <w:p>
            <w:r>
              <w:rPr>
                <w:sz w:val="14"/>
              </w:rPr>
              <w:t>Official IOC/Olympics</w:t>
            </w:r>
          </w:p>
        </w:tc>
        <w:tc>
          <w:tcPr>
            <w:tcW w:type="dxa" w:w="2628"/>
            <w:vAlign w:val="center"/>
          </w:tcPr>
          <w:p>
            <w:r>
              <w:rPr>
                <w:sz w:val="14"/>
              </w:rPr>
              <w:t>https://www.olympics.com/en/news/la28-olympics-what-are-new-sports-and-events-at-olympic-games-in-los-angeles</w:t>
            </w:r>
          </w:p>
        </w:tc>
      </w:tr>
      <w:tr>
        <w:tc>
          <w:tcPr>
            <w:tcW w:type="dxa" w:w="2628"/>
            <w:vAlign w:val="center"/>
          </w:tcPr>
          <w:p>
            <w:r>
              <w:rPr>
                <w:sz w:val="14"/>
              </w:rPr>
              <w:t>S02</w:t>
            </w:r>
          </w:p>
        </w:tc>
        <w:tc>
          <w:tcPr>
            <w:tcW w:type="dxa" w:w="2628"/>
            <w:vAlign w:val="center"/>
          </w:tcPr>
          <w:p>
            <w:r>
              <w:rPr>
                <w:sz w:val="14"/>
              </w:rPr>
              <w:t>IOC - LA28 additional sports</w:t>
            </w:r>
          </w:p>
        </w:tc>
        <w:tc>
          <w:tcPr>
            <w:tcW w:type="dxa" w:w="2628"/>
            <w:vAlign w:val="center"/>
          </w:tcPr>
          <w:p>
            <w:r>
              <w:rPr>
                <w:sz w:val="14"/>
              </w:rPr>
              <w:t>Official IOC</w:t>
            </w:r>
          </w:p>
        </w:tc>
        <w:tc>
          <w:tcPr>
            <w:tcW w:type="dxa" w:w="2628"/>
            <w:vAlign w:val="center"/>
          </w:tcPr>
          <w:p>
            <w:r>
              <w:rPr>
                <w:sz w:val="14"/>
              </w:rPr>
              <w:t>https://www.olympics.com/ioc/news/ioc-session-approves-la28-s-proposal-for-five-additional-sports</w:t>
            </w:r>
          </w:p>
        </w:tc>
      </w:tr>
      <w:tr>
        <w:tc>
          <w:tcPr>
            <w:tcW w:type="dxa" w:w="2628"/>
            <w:vAlign w:val="center"/>
          </w:tcPr>
          <w:p>
            <w:r>
              <w:rPr>
                <w:sz w:val="14"/>
              </w:rPr>
              <w:t>S03</w:t>
            </w:r>
          </w:p>
        </w:tc>
        <w:tc>
          <w:tcPr>
            <w:tcW w:type="dxa" w:w="2628"/>
            <w:vAlign w:val="center"/>
          </w:tcPr>
          <w:p>
            <w:r>
              <w:rPr>
                <w:sz w:val="14"/>
              </w:rPr>
              <w:t>LA28 competition schedule</w:t>
            </w:r>
          </w:p>
        </w:tc>
        <w:tc>
          <w:tcPr>
            <w:tcW w:type="dxa" w:w="2628"/>
            <w:vAlign w:val="center"/>
          </w:tcPr>
          <w:p>
            <w:r>
              <w:rPr>
                <w:sz w:val="14"/>
              </w:rPr>
              <w:t>Official Organising Committee</w:t>
            </w:r>
          </w:p>
        </w:tc>
        <w:tc>
          <w:tcPr>
            <w:tcW w:type="dxa" w:w="2628"/>
            <w:vAlign w:val="center"/>
          </w:tcPr>
          <w:p>
            <w:r>
              <w:rPr>
                <w:sz w:val="14"/>
              </w:rPr>
              <w:t>https://la28.org/content/dam/latwentyeight/competition-schedule-imagery/LA28OlympicGamesCompetitionByDaySchedule.pdf</w:t>
            </w:r>
          </w:p>
        </w:tc>
      </w:tr>
      <w:tr>
        <w:tc>
          <w:tcPr>
            <w:tcW w:type="dxa" w:w="2628"/>
            <w:vAlign w:val="center"/>
          </w:tcPr>
          <w:p>
            <w:r>
              <w:rPr>
                <w:sz w:val="14"/>
              </w:rPr>
              <w:t>S04</w:t>
            </w:r>
          </w:p>
        </w:tc>
        <w:tc>
          <w:tcPr>
            <w:tcW w:type="dxa" w:w="2628"/>
            <w:vAlign w:val="center"/>
          </w:tcPr>
          <w:p>
            <w:r>
              <w:rPr>
                <w:sz w:val="14"/>
              </w:rPr>
              <w:t>UDISE+</w:t>
            </w:r>
          </w:p>
        </w:tc>
        <w:tc>
          <w:tcPr>
            <w:tcW w:type="dxa" w:w="2628"/>
            <w:vAlign w:val="center"/>
          </w:tcPr>
          <w:p>
            <w:r>
              <w:rPr>
                <w:sz w:val="14"/>
              </w:rPr>
              <w:t>Government of India</w:t>
            </w:r>
          </w:p>
        </w:tc>
        <w:tc>
          <w:tcPr>
            <w:tcW w:type="dxa" w:w="2628"/>
            <w:vAlign w:val="center"/>
          </w:tcPr>
          <w:p>
            <w:r>
              <w:rPr>
                <w:sz w:val="14"/>
              </w:rPr>
              <w:t>https://udiseplus.gov.in/</w:t>
            </w:r>
          </w:p>
        </w:tc>
      </w:tr>
      <w:tr>
        <w:tc>
          <w:tcPr>
            <w:tcW w:type="dxa" w:w="2628"/>
            <w:vAlign w:val="center"/>
          </w:tcPr>
          <w:p>
            <w:r>
              <w:rPr>
                <w:sz w:val="14"/>
              </w:rPr>
              <w:t>S05</w:t>
            </w:r>
          </w:p>
        </w:tc>
        <w:tc>
          <w:tcPr>
            <w:tcW w:type="dxa" w:w="2628"/>
            <w:vAlign w:val="center"/>
          </w:tcPr>
          <w:p>
            <w:r>
              <w:rPr>
                <w:sz w:val="14"/>
              </w:rPr>
              <w:t>UDISE+ Know Your School</w:t>
            </w:r>
          </w:p>
        </w:tc>
        <w:tc>
          <w:tcPr>
            <w:tcW w:type="dxa" w:w="2628"/>
            <w:vAlign w:val="center"/>
          </w:tcPr>
          <w:p>
            <w:r>
              <w:rPr>
                <w:sz w:val="14"/>
              </w:rPr>
              <w:t>Government of India</w:t>
            </w:r>
          </w:p>
        </w:tc>
        <w:tc>
          <w:tcPr>
            <w:tcW w:type="dxa" w:w="2628"/>
            <w:vAlign w:val="center"/>
          </w:tcPr>
          <w:p>
            <w:r>
              <w:rPr>
                <w:sz w:val="14"/>
              </w:rPr>
              <w:t>https://kys.udiseplus.gov.in/</w:t>
            </w:r>
          </w:p>
        </w:tc>
      </w:tr>
      <w:tr>
        <w:tc>
          <w:tcPr>
            <w:tcW w:type="dxa" w:w="2628"/>
            <w:vAlign w:val="center"/>
          </w:tcPr>
          <w:p>
            <w:r>
              <w:rPr>
                <w:sz w:val="14"/>
              </w:rPr>
              <w:t>S06</w:t>
            </w:r>
          </w:p>
        </w:tc>
        <w:tc>
          <w:tcPr>
            <w:tcW w:type="dxa" w:w="2628"/>
            <w:vAlign w:val="center"/>
          </w:tcPr>
          <w:p>
            <w:r>
              <w:rPr>
                <w:sz w:val="14"/>
              </w:rPr>
              <w:t>MOSPI HCES 2023-24</w:t>
            </w:r>
          </w:p>
        </w:tc>
        <w:tc>
          <w:tcPr>
            <w:tcW w:type="dxa" w:w="2628"/>
            <w:vAlign w:val="center"/>
          </w:tcPr>
          <w:p>
            <w:r>
              <w:rPr>
                <w:sz w:val="14"/>
              </w:rPr>
              <w:t>Government of India</w:t>
            </w:r>
          </w:p>
        </w:tc>
        <w:tc>
          <w:tcPr>
            <w:tcW w:type="dxa" w:w="2628"/>
            <w:vAlign w:val="center"/>
          </w:tcPr>
          <w:p>
            <w:r>
              <w:rPr>
                <w:sz w:val="14"/>
              </w:rPr>
              <w:t>https://www.mospi.gov.in/sites/default/files/publication_reports/HCES%20FactSheet%202023-24.pdf</w:t>
            </w:r>
          </w:p>
        </w:tc>
      </w:tr>
      <w:tr>
        <w:tc>
          <w:tcPr>
            <w:tcW w:type="dxa" w:w="2628"/>
            <w:vAlign w:val="center"/>
          </w:tcPr>
          <w:p>
            <w:r>
              <w:rPr>
                <w:sz w:val="14"/>
              </w:rPr>
              <w:t>S07</w:t>
            </w:r>
          </w:p>
        </w:tc>
        <w:tc>
          <w:tcPr>
            <w:tcW w:type="dxa" w:w="2628"/>
            <w:vAlign w:val="center"/>
          </w:tcPr>
          <w:p>
            <w:r>
              <w:rPr>
                <w:sz w:val="14"/>
              </w:rPr>
              <w:t>Bengaluru Urban District Demography</w:t>
            </w:r>
          </w:p>
        </w:tc>
        <w:tc>
          <w:tcPr>
            <w:tcW w:type="dxa" w:w="2628"/>
            <w:vAlign w:val="center"/>
          </w:tcPr>
          <w:p>
            <w:r>
              <w:rPr>
                <w:sz w:val="14"/>
              </w:rPr>
              <w:t>Government of Karnataka</w:t>
            </w:r>
          </w:p>
        </w:tc>
        <w:tc>
          <w:tcPr>
            <w:tcW w:type="dxa" w:w="2628"/>
            <w:vAlign w:val="center"/>
          </w:tcPr>
          <w:p>
            <w:r>
              <w:rPr>
                <w:sz w:val="14"/>
              </w:rPr>
              <w:t>https://bengaluruurban.nic.in/en/demography/</w:t>
            </w:r>
          </w:p>
        </w:tc>
      </w:tr>
      <w:tr>
        <w:tc>
          <w:tcPr>
            <w:tcW w:type="dxa" w:w="2628"/>
            <w:vAlign w:val="center"/>
          </w:tcPr>
          <w:p>
            <w:r>
              <w:rPr>
                <w:sz w:val="14"/>
              </w:rPr>
              <w:t>S08</w:t>
            </w:r>
          </w:p>
        </w:tc>
        <w:tc>
          <w:tcPr>
            <w:tcW w:type="dxa" w:w="2628"/>
            <w:vAlign w:val="center"/>
          </w:tcPr>
          <w:p>
            <w:r>
              <w:rPr>
                <w:sz w:val="14"/>
              </w:rPr>
              <w:t>Karnataka DES DDP 2024-25</w:t>
            </w:r>
          </w:p>
        </w:tc>
        <w:tc>
          <w:tcPr>
            <w:tcW w:type="dxa" w:w="2628"/>
            <w:vAlign w:val="center"/>
          </w:tcPr>
          <w:p>
            <w:r>
              <w:rPr>
                <w:sz w:val="14"/>
              </w:rPr>
              <w:t>Government of Karnataka</w:t>
            </w:r>
          </w:p>
        </w:tc>
        <w:tc>
          <w:tcPr>
            <w:tcW w:type="dxa" w:w="2628"/>
            <w:vAlign w:val="center"/>
          </w:tcPr>
          <w:p>
            <w:r>
              <w:rPr>
                <w:sz w:val="14"/>
              </w:rPr>
              <w:t>https://des.karnataka.gov.in/uploads/DDP%202024%2025%20ENG_1781942638.pdf</w:t>
            </w:r>
          </w:p>
        </w:tc>
      </w:tr>
      <w:tr>
        <w:tc>
          <w:tcPr>
            <w:tcW w:type="dxa" w:w="2628"/>
            <w:vAlign w:val="center"/>
          </w:tcPr>
          <w:p>
            <w:r>
              <w:rPr>
                <w:sz w:val="14"/>
              </w:rPr>
              <w:t>S09</w:t>
            </w:r>
          </w:p>
        </w:tc>
        <w:tc>
          <w:tcPr>
            <w:tcW w:type="dxa" w:w="2628"/>
            <w:vAlign w:val="center"/>
          </w:tcPr>
          <w:p>
            <w:r>
              <w:rPr>
                <w:sz w:val="14"/>
              </w:rPr>
              <w:t>Karnataka DES Reports</w:t>
            </w:r>
          </w:p>
        </w:tc>
        <w:tc>
          <w:tcPr>
            <w:tcW w:type="dxa" w:w="2628"/>
            <w:vAlign w:val="center"/>
          </w:tcPr>
          <w:p>
            <w:r>
              <w:rPr>
                <w:sz w:val="14"/>
              </w:rPr>
              <w:t>Government of Karnataka</w:t>
            </w:r>
          </w:p>
        </w:tc>
        <w:tc>
          <w:tcPr>
            <w:tcW w:type="dxa" w:w="2628"/>
            <w:vAlign w:val="center"/>
          </w:tcPr>
          <w:p>
            <w:r>
              <w:rPr>
                <w:sz w:val="14"/>
              </w:rPr>
              <w:t>https://des.karnataka.gov.in/41/reports/en</w:t>
            </w:r>
          </w:p>
        </w:tc>
      </w:tr>
      <w:tr>
        <w:tc>
          <w:tcPr>
            <w:tcW w:type="dxa" w:w="2628"/>
            <w:vAlign w:val="center"/>
          </w:tcPr>
          <w:p>
            <w:r>
              <w:rPr>
                <w:sz w:val="14"/>
              </w:rPr>
              <w:t>S10</w:t>
            </w:r>
          </w:p>
        </w:tc>
        <w:tc>
          <w:tcPr>
            <w:tcW w:type="dxa" w:w="2628"/>
            <w:vAlign w:val="center"/>
          </w:tcPr>
          <w:p>
            <w:r>
              <w:rPr>
                <w:sz w:val="14"/>
              </w:rPr>
              <w:t>Edustoke Lingarajapuram</w:t>
            </w:r>
          </w:p>
        </w:tc>
        <w:tc>
          <w:tcPr>
            <w:tcW w:type="dxa" w:w="2628"/>
            <w:vAlign w:val="center"/>
          </w:tcPr>
          <w:p>
            <w:r>
              <w:rPr>
                <w:sz w:val="14"/>
              </w:rPr>
              <w:t>Market directory</w:t>
            </w:r>
          </w:p>
        </w:tc>
        <w:tc>
          <w:tcPr>
            <w:tcW w:type="dxa" w:w="2628"/>
            <w:vAlign w:val="center"/>
          </w:tcPr>
          <w:p>
            <w:r>
              <w:rPr>
                <w:sz w:val="14"/>
              </w:rPr>
              <w:t>https://www.edustoke.com/bengaluru/schools-in-lingarajapuram</w:t>
            </w:r>
          </w:p>
        </w:tc>
      </w:tr>
      <w:tr>
        <w:tc>
          <w:tcPr>
            <w:tcW w:type="dxa" w:w="2628"/>
            <w:vAlign w:val="center"/>
          </w:tcPr>
          <w:p>
            <w:r>
              <w:rPr>
                <w:sz w:val="14"/>
              </w:rPr>
              <w:t>S11</w:t>
            </w:r>
          </w:p>
        </w:tc>
        <w:tc>
          <w:tcPr>
            <w:tcW w:type="dxa" w:w="2628"/>
            <w:vAlign w:val="center"/>
          </w:tcPr>
          <w:p>
            <w:r>
              <w:rPr>
                <w:sz w:val="14"/>
              </w:rPr>
              <w:t>UrbanPro Class I-V Lingarajapuram</w:t>
            </w:r>
          </w:p>
        </w:tc>
        <w:tc>
          <w:tcPr>
            <w:tcW w:type="dxa" w:w="2628"/>
            <w:vAlign w:val="center"/>
          </w:tcPr>
          <w:p>
            <w:r>
              <w:rPr>
                <w:sz w:val="14"/>
              </w:rPr>
              <w:t>Marketplace</w:t>
            </w:r>
          </w:p>
        </w:tc>
        <w:tc>
          <w:tcPr>
            <w:tcW w:type="dxa" w:w="2628"/>
            <w:vAlign w:val="center"/>
          </w:tcPr>
          <w:p>
            <w:r>
              <w:rPr>
                <w:sz w:val="14"/>
              </w:rPr>
              <w:t>https://www.urbanpro.com/bangalore/class-i-v-tuition/lingarajapuram-p2/53287208</w:t>
            </w:r>
          </w:p>
        </w:tc>
      </w:tr>
      <w:tr>
        <w:tc>
          <w:tcPr>
            <w:tcW w:type="dxa" w:w="2628"/>
            <w:vAlign w:val="center"/>
          </w:tcPr>
          <w:p>
            <w:r>
              <w:rPr>
                <w:sz w:val="14"/>
              </w:rPr>
              <w:t>S12</w:t>
            </w:r>
          </w:p>
        </w:tc>
        <w:tc>
          <w:tcPr>
            <w:tcW w:type="dxa" w:w="2628"/>
            <w:vAlign w:val="center"/>
          </w:tcPr>
          <w:p>
            <w:r>
              <w:rPr>
                <w:sz w:val="14"/>
              </w:rPr>
              <w:t>UrbanPro Lingarajapuram Tuition</w:t>
            </w:r>
          </w:p>
        </w:tc>
        <w:tc>
          <w:tcPr>
            <w:tcW w:type="dxa" w:w="2628"/>
            <w:vAlign w:val="center"/>
          </w:tcPr>
          <w:p>
            <w:r>
              <w:rPr>
                <w:sz w:val="14"/>
              </w:rPr>
              <w:t>Marketplace</w:t>
            </w:r>
          </w:p>
        </w:tc>
        <w:tc>
          <w:tcPr>
            <w:tcW w:type="dxa" w:w="2628"/>
            <w:vAlign w:val="center"/>
          </w:tcPr>
          <w:p>
            <w:r>
              <w:rPr>
                <w:sz w:val="14"/>
              </w:rPr>
              <w:t>https://www.urbanpro.com/bangalore/tuition/lingarajapuram</w:t>
            </w:r>
          </w:p>
        </w:tc>
      </w:tr>
      <w:tr>
        <w:tc>
          <w:tcPr>
            <w:tcW w:type="dxa" w:w="2628"/>
            <w:vAlign w:val="center"/>
          </w:tcPr>
          <w:p>
            <w:r>
              <w:rPr>
                <w:sz w:val="14"/>
              </w:rPr>
              <w:t>S13</w:t>
            </w:r>
          </w:p>
        </w:tc>
        <w:tc>
          <w:tcPr>
            <w:tcW w:type="dxa" w:w="2628"/>
            <w:vAlign w:val="center"/>
          </w:tcPr>
          <w:p>
            <w:r>
              <w:rPr>
                <w:sz w:val="14"/>
              </w:rPr>
              <w:t>Sporthood football academy</w:t>
            </w:r>
          </w:p>
        </w:tc>
        <w:tc>
          <w:tcPr>
            <w:tcW w:type="dxa" w:w="2628"/>
            <w:vAlign w:val="center"/>
          </w:tcPr>
          <w:p>
            <w:r>
              <w:rPr>
                <w:sz w:val="14"/>
              </w:rPr>
              <w:t>Provider pricing</w:t>
            </w:r>
          </w:p>
        </w:tc>
        <w:tc>
          <w:tcPr>
            <w:tcW w:type="dxa" w:w="2628"/>
            <w:vAlign w:val="center"/>
          </w:tcPr>
          <w:p>
            <w:r>
              <w:rPr>
                <w:sz w:val="14"/>
              </w:rPr>
              <w:t>https://www.sporthood.in/membership-packages/bangalore-football-turf/football-academy/</w:t>
            </w:r>
          </w:p>
        </w:tc>
      </w:tr>
      <w:tr>
        <w:tc>
          <w:tcPr>
            <w:tcW w:type="dxa" w:w="2628"/>
            <w:vAlign w:val="center"/>
          </w:tcPr>
          <w:p>
            <w:r>
              <w:rPr>
                <w:sz w:val="14"/>
              </w:rPr>
              <w:t>S14</w:t>
            </w:r>
          </w:p>
        </w:tc>
        <w:tc>
          <w:tcPr>
            <w:tcW w:type="dxa" w:w="2628"/>
            <w:vAlign w:val="center"/>
          </w:tcPr>
          <w:p>
            <w:r>
              <w:rPr>
                <w:sz w:val="14"/>
              </w:rPr>
              <w:t>Sporthood Turfpark HSR football academy</w:t>
            </w:r>
          </w:p>
        </w:tc>
        <w:tc>
          <w:tcPr>
            <w:tcW w:type="dxa" w:w="2628"/>
            <w:vAlign w:val="center"/>
          </w:tcPr>
          <w:p>
            <w:r>
              <w:rPr>
                <w:sz w:val="14"/>
              </w:rPr>
              <w:t>Provider pricing</w:t>
            </w:r>
          </w:p>
        </w:tc>
        <w:tc>
          <w:tcPr>
            <w:tcW w:type="dxa" w:w="2628"/>
            <w:vAlign w:val="center"/>
          </w:tcPr>
          <w:p>
            <w:r>
              <w:rPr>
                <w:sz w:val="14"/>
              </w:rPr>
              <w:t>https://www.sporthood.in/membership-packages/sporthood-turfpark-hsr/football-academy/</w:t>
            </w:r>
          </w:p>
        </w:tc>
      </w:tr>
      <w:tr>
        <w:tc>
          <w:tcPr>
            <w:tcW w:type="dxa" w:w="2628"/>
            <w:vAlign w:val="center"/>
          </w:tcPr>
          <w:p>
            <w:r>
              <w:rPr>
                <w:sz w:val="14"/>
              </w:rPr>
              <w:t>S15</w:t>
            </w:r>
          </w:p>
        </w:tc>
        <w:tc>
          <w:tcPr>
            <w:tcW w:type="dxa" w:w="2628"/>
            <w:vAlign w:val="center"/>
          </w:tcPr>
          <w:p>
            <w:r>
              <w:rPr>
                <w:sz w:val="14"/>
              </w:rPr>
              <w:t>Gopalan Cricket Ground</w:t>
            </w:r>
          </w:p>
        </w:tc>
        <w:tc>
          <w:tcPr>
            <w:tcW w:type="dxa" w:w="2628"/>
            <w:vAlign w:val="center"/>
          </w:tcPr>
          <w:p>
            <w:r>
              <w:rPr>
                <w:sz w:val="14"/>
              </w:rPr>
              <w:t>Provider pricing</w:t>
            </w:r>
          </w:p>
        </w:tc>
        <w:tc>
          <w:tcPr>
            <w:tcW w:type="dxa" w:w="2628"/>
            <w:vAlign w:val="center"/>
          </w:tcPr>
          <w:p>
            <w:r>
              <w:rPr>
                <w:sz w:val="14"/>
              </w:rPr>
              <w:t>https://www.gopalansportscenter.com/gopalan-cricket-ground.html</w:t>
            </w:r>
          </w:p>
        </w:tc>
      </w:tr>
      <w:tr>
        <w:tc>
          <w:tcPr>
            <w:tcW w:type="dxa" w:w="2628"/>
            <w:vAlign w:val="center"/>
          </w:tcPr>
          <w:p>
            <w:r>
              <w:rPr>
                <w:sz w:val="14"/>
              </w:rPr>
              <w:t>S16</w:t>
            </w:r>
          </w:p>
        </w:tc>
        <w:tc>
          <w:tcPr>
            <w:tcW w:type="dxa" w:w="2628"/>
            <w:vAlign w:val="center"/>
          </w:tcPr>
          <w:p>
            <w:r>
              <w:rPr>
                <w:sz w:val="14"/>
              </w:rPr>
              <w:t>Playo Lingarajapuram venues</w:t>
            </w:r>
          </w:p>
        </w:tc>
        <w:tc>
          <w:tcPr>
            <w:tcW w:type="dxa" w:w="2628"/>
            <w:vAlign w:val="center"/>
          </w:tcPr>
          <w:p>
            <w:r>
              <w:rPr>
                <w:sz w:val="14"/>
              </w:rPr>
              <w:t>Marketplace</w:t>
            </w:r>
          </w:p>
        </w:tc>
        <w:tc>
          <w:tcPr>
            <w:tcW w:type="dxa" w:w="2628"/>
            <w:vAlign w:val="center"/>
          </w:tcPr>
          <w:p>
            <w:r>
              <w:rPr>
                <w:sz w:val="14"/>
              </w:rPr>
              <w:t>https://playo.co/venues/lingarajapuram-bangalore/sports/all</w:t>
            </w:r>
          </w:p>
        </w:tc>
      </w:tr>
      <w:tr>
        <w:tc>
          <w:tcPr>
            <w:tcW w:type="dxa" w:w="2628"/>
            <w:vAlign w:val="center"/>
          </w:tcPr>
          <w:p>
            <w:r>
              <w:rPr>
                <w:sz w:val="14"/>
              </w:rPr>
              <w:t>S17</w:t>
            </w:r>
          </w:p>
        </w:tc>
        <w:tc>
          <w:tcPr>
            <w:tcW w:type="dxa" w:w="2628"/>
            <w:vAlign w:val="center"/>
          </w:tcPr>
          <w:p>
            <w:r>
              <w:rPr>
                <w:sz w:val="14"/>
              </w:rPr>
              <w:t>NCPCR / MoE School Safety Guidelines 2021</w:t>
            </w:r>
          </w:p>
        </w:tc>
        <w:tc>
          <w:tcPr>
            <w:tcW w:type="dxa" w:w="2628"/>
            <w:vAlign w:val="center"/>
          </w:tcPr>
          <w:p>
            <w:r>
              <w:rPr>
                <w:sz w:val="14"/>
              </w:rPr>
              <w:t>Government of India</w:t>
            </w:r>
          </w:p>
        </w:tc>
        <w:tc>
          <w:tcPr>
            <w:tcW w:type="dxa" w:w="2628"/>
            <w:vAlign w:val="center"/>
          </w:tcPr>
          <w:p>
            <w:r>
              <w:rPr>
                <w:sz w:val="14"/>
              </w:rPr>
              <w:t>https://ncpcr.gov.in/public/index.php/viewPdf/1752040447686e03ff229de_guidelines.pdf</w:t>
            </w:r>
          </w:p>
        </w:tc>
      </w:tr>
      <w:tr>
        <w:tc>
          <w:tcPr>
            <w:tcW w:type="dxa" w:w="2628"/>
            <w:vAlign w:val="center"/>
          </w:tcPr>
          <w:p>
            <w:r>
              <w:rPr>
                <w:sz w:val="14"/>
              </w:rPr>
              <w:t>S18</w:t>
            </w:r>
          </w:p>
        </w:tc>
        <w:tc>
          <w:tcPr>
            <w:tcW w:type="dxa" w:w="2628"/>
            <w:vAlign w:val="center"/>
          </w:tcPr>
          <w:p>
            <w:r>
              <w:rPr>
                <w:sz w:val="14"/>
              </w:rPr>
              <w:t>NDMA School Safety Project</w:t>
            </w:r>
          </w:p>
        </w:tc>
        <w:tc>
          <w:tcPr>
            <w:tcW w:type="dxa" w:w="2628"/>
            <w:vAlign w:val="center"/>
          </w:tcPr>
          <w:p>
            <w:r>
              <w:rPr>
                <w:sz w:val="14"/>
              </w:rPr>
              <w:t>Government of India</w:t>
            </w:r>
          </w:p>
        </w:tc>
        <w:tc>
          <w:tcPr>
            <w:tcW w:type="dxa" w:w="2628"/>
            <w:vAlign w:val="center"/>
          </w:tcPr>
          <w:p>
            <w:r>
              <w:rPr>
                <w:sz w:val="14"/>
              </w:rPr>
              <w:t>https://www.ndma.gov.in/school-safety-project</w:t>
            </w:r>
          </w:p>
        </w:tc>
      </w:tr>
      <w:tr>
        <w:tc>
          <w:tcPr>
            <w:tcW w:type="dxa" w:w="2628"/>
            <w:vAlign w:val="center"/>
          </w:tcPr>
          <w:p>
            <w:r>
              <w:rPr>
                <w:sz w:val="14"/>
              </w:rPr>
              <w:t>S19</w:t>
            </w:r>
          </w:p>
        </w:tc>
        <w:tc>
          <w:tcPr>
            <w:tcW w:type="dxa" w:w="2628"/>
            <w:vAlign w:val="center"/>
          </w:tcPr>
          <w:p>
            <w:r>
              <w:rPr>
                <w:sz w:val="14"/>
              </w:rPr>
              <w:t>MHA PSARA FAQ</w:t>
            </w:r>
          </w:p>
        </w:tc>
        <w:tc>
          <w:tcPr>
            <w:tcW w:type="dxa" w:w="2628"/>
            <w:vAlign w:val="center"/>
          </w:tcPr>
          <w:p>
            <w:r>
              <w:rPr>
                <w:sz w:val="14"/>
              </w:rPr>
              <w:t>Government of India</w:t>
            </w:r>
          </w:p>
        </w:tc>
        <w:tc>
          <w:tcPr>
            <w:tcW w:type="dxa" w:w="2628"/>
            <w:vAlign w:val="center"/>
          </w:tcPr>
          <w:p>
            <w:r>
              <w:rPr>
                <w:sz w:val="14"/>
              </w:rPr>
              <w:t>https://www.mha.gov.in/sites/default/files/2023-01/FAQ_10012023.pdf</w:t>
            </w:r>
          </w:p>
        </w:tc>
      </w:tr>
      <w:tr>
        <w:tc>
          <w:tcPr>
            <w:tcW w:type="dxa" w:w="2628"/>
            <w:vAlign w:val="center"/>
          </w:tcPr>
          <w:p>
            <w:r>
              <w:rPr>
                <w:sz w:val="14"/>
              </w:rPr>
              <w:t>S20</w:t>
            </w:r>
          </w:p>
        </w:tc>
        <w:tc>
          <w:tcPr>
            <w:tcW w:type="dxa" w:w="2628"/>
            <w:vAlign w:val="center"/>
          </w:tcPr>
          <w:p>
            <w:r>
              <w:rPr>
                <w:sz w:val="14"/>
              </w:rPr>
              <w:t>MHA PSARA Acts &amp; Rules</w:t>
            </w:r>
          </w:p>
        </w:tc>
        <w:tc>
          <w:tcPr>
            <w:tcW w:type="dxa" w:w="2628"/>
            <w:vAlign w:val="center"/>
          </w:tcPr>
          <w:p>
            <w:r>
              <w:rPr>
                <w:sz w:val="14"/>
              </w:rPr>
              <w:t>Government of India</w:t>
            </w:r>
          </w:p>
        </w:tc>
        <w:tc>
          <w:tcPr>
            <w:tcW w:type="dxa" w:w="2628"/>
            <w:vAlign w:val="center"/>
          </w:tcPr>
          <w:p>
            <w:r>
              <w:rPr>
                <w:sz w:val="14"/>
              </w:rPr>
              <w:t>https://www.mha.gov.in/en/divisionofmha/police-modernisation-division/acts-rules</w:t>
            </w:r>
          </w:p>
        </w:tc>
      </w:tr>
      <w:tr>
        <w:tc>
          <w:tcPr>
            <w:tcW w:type="dxa" w:w="2628"/>
            <w:vAlign w:val="center"/>
          </w:tcPr>
          <w:p>
            <w:r>
              <w:rPr>
                <w:sz w:val="14"/>
              </w:rPr>
              <w:t>S21</w:t>
            </w:r>
          </w:p>
        </w:tc>
        <w:tc>
          <w:tcPr>
            <w:tcW w:type="dxa" w:w="2628"/>
            <w:vAlign w:val="center"/>
          </w:tcPr>
          <w:p>
            <w:r>
              <w:rPr>
                <w:sz w:val="14"/>
              </w:rPr>
              <w:t>India Code - JJ Act Section 41</w:t>
            </w:r>
          </w:p>
        </w:tc>
        <w:tc>
          <w:tcPr>
            <w:tcW w:type="dxa" w:w="2628"/>
            <w:vAlign w:val="center"/>
          </w:tcPr>
          <w:p>
            <w:r>
              <w:rPr>
                <w:sz w:val="14"/>
              </w:rPr>
              <w:t>Government of India</w:t>
            </w:r>
          </w:p>
        </w:tc>
        <w:tc>
          <w:tcPr>
            <w:tcW w:type="dxa" w:w="2628"/>
            <w:vAlign w:val="center"/>
          </w:tcPr>
          <w:p>
            <w:r>
              <w:rPr>
                <w:sz w:val="14"/>
              </w:rPr>
              <w:t>https://www.indiacode.nic.in/show-data?actid=AC_CEN_13_14_000010_201602_1517807328168&amp;orderno=41&amp;sectionId=12761&amp;sectionno=41</w:t>
            </w:r>
          </w:p>
        </w:tc>
      </w:tr>
      <w:tr>
        <w:tc>
          <w:tcPr>
            <w:tcW w:type="dxa" w:w="2628"/>
            <w:vAlign w:val="center"/>
          </w:tcPr>
          <w:p>
            <w:r>
              <w:rPr>
                <w:sz w:val="14"/>
              </w:rPr>
              <w:t>S22</w:t>
            </w:r>
          </w:p>
        </w:tc>
        <w:tc>
          <w:tcPr>
            <w:tcW w:type="dxa" w:w="2628"/>
            <w:vAlign w:val="center"/>
          </w:tcPr>
          <w:p>
            <w:r>
              <w:rPr>
                <w:sz w:val="14"/>
              </w:rPr>
              <w:t>FSSAI FoSCoS</w:t>
            </w:r>
          </w:p>
        </w:tc>
        <w:tc>
          <w:tcPr>
            <w:tcW w:type="dxa" w:w="2628"/>
            <w:vAlign w:val="center"/>
          </w:tcPr>
          <w:p>
            <w:r>
              <w:rPr>
                <w:sz w:val="14"/>
              </w:rPr>
              <w:t>Government of India</w:t>
            </w:r>
          </w:p>
        </w:tc>
        <w:tc>
          <w:tcPr>
            <w:tcW w:type="dxa" w:w="2628"/>
            <w:vAlign w:val="center"/>
          </w:tcPr>
          <w:p>
            <w:r>
              <w:rPr>
                <w:sz w:val="14"/>
              </w:rPr>
              <w:t>https://fssai.gov.in/business/about-foscos</w:t>
            </w:r>
          </w:p>
        </w:tc>
      </w:tr>
      <w:tr>
        <w:tc>
          <w:tcPr>
            <w:tcW w:type="dxa" w:w="2628"/>
            <w:vAlign w:val="center"/>
          </w:tcPr>
          <w:p>
            <w:r>
              <w:rPr>
                <w:sz w:val="14"/>
              </w:rPr>
              <w:t>S23</w:t>
            </w:r>
          </w:p>
        </w:tc>
        <w:tc>
          <w:tcPr>
            <w:tcW w:type="dxa" w:w="2628"/>
            <w:vAlign w:val="center"/>
          </w:tcPr>
          <w:p>
            <w:r>
              <w:rPr>
                <w:sz w:val="14"/>
              </w:rPr>
              <w:t>Karnataka Labour Department</w:t>
            </w:r>
          </w:p>
        </w:tc>
        <w:tc>
          <w:tcPr>
            <w:tcW w:type="dxa" w:w="2628"/>
            <w:vAlign w:val="center"/>
          </w:tcPr>
          <w:p>
            <w:r>
              <w:rPr>
                <w:sz w:val="14"/>
              </w:rPr>
              <w:t>Government of Karnataka</w:t>
            </w:r>
          </w:p>
        </w:tc>
        <w:tc>
          <w:tcPr>
            <w:tcW w:type="dxa" w:w="2628"/>
            <w:vAlign w:val="center"/>
          </w:tcPr>
          <w:p>
            <w:r>
              <w:rPr>
                <w:sz w:val="14"/>
              </w:rPr>
              <w:t>https://labour.karnataka.gov.in/47/rules-and-regulations/en</w:t>
            </w:r>
          </w:p>
        </w:tc>
      </w:tr>
      <w:tr>
        <w:tc>
          <w:tcPr>
            <w:tcW w:type="dxa" w:w="2628"/>
            <w:vAlign w:val="center"/>
          </w:tcPr>
          <w:p>
            <w:r>
              <w:rPr>
                <w:sz w:val="14"/>
              </w:rPr>
              <w:t>S24</w:t>
            </w:r>
          </w:p>
        </w:tc>
        <w:tc>
          <w:tcPr>
            <w:tcW w:type="dxa" w:w="2628"/>
            <w:vAlign w:val="center"/>
          </w:tcPr>
          <w:p>
            <w:r>
              <w:rPr>
                <w:sz w:val="14"/>
              </w:rPr>
              <w:t>Google Trends</w:t>
            </w:r>
          </w:p>
        </w:tc>
        <w:tc>
          <w:tcPr>
            <w:tcW w:type="dxa" w:w="2628"/>
            <w:vAlign w:val="center"/>
          </w:tcPr>
          <w:p>
            <w:r>
              <w:rPr>
                <w:sz w:val="14"/>
              </w:rPr>
              <w:t>Google</w:t>
            </w:r>
          </w:p>
        </w:tc>
        <w:tc>
          <w:tcPr>
            <w:tcW w:type="dxa" w:w="2628"/>
            <w:vAlign w:val="center"/>
          </w:tcPr>
          <w:p>
            <w:r>
              <w:rPr>
                <w:sz w:val="14"/>
              </w:rPr>
              <w:t>https://trends.google.com/trends/</w:t>
            </w:r>
          </w:p>
        </w:tc>
      </w:tr>
      <w:tr>
        <w:tc>
          <w:tcPr>
            <w:tcW w:type="dxa" w:w="2628"/>
            <w:vAlign w:val="center"/>
          </w:tcPr>
          <w:p>
            <w:r>
              <w:rPr>
                <w:sz w:val="14"/>
              </w:rPr>
              <w:t>S25</w:t>
            </w:r>
          </w:p>
        </w:tc>
        <w:tc>
          <w:tcPr>
            <w:tcW w:type="dxa" w:w="2628"/>
            <w:vAlign w:val="center"/>
          </w:tcPr>
          <w:p>
            <w:r>
              <w:rPr>
                <w:sz w:val="14"/>
              </w:rPr>
              <w:t>Google Trends Help</w:t>
            </w:r>
          </w:p>
        </w:tc>
        <w:tc>
          <w:tcPr>
            <w:tcW w:type="dxa" w:w="2628"/>
            <w:vAlign w:val="center"/>
          </w:tcPr>
          <w:p>
            <w:r>
              <w:rPr>
                <w:sz w:val="14"/>
              </w:rPr>
              <w:t>Google</w:t>
            </w:r>
          </w:p>
        </w:tc>
        <w:tc>
          <w:tcPr>
            <w:tcW w:type="dxa" w:w="2628"/>
            <w:vAlign w:val="center"/>
          </w:tcPr>
          <w:p>
            <w:r>
              <w:rPr>
                <w:sz w:val="14"/>
              </w:rPr>
              <w:t>https://support.google.com/trends/answer/4365533?hl=en</w:t>
            </w:r>
          </w:p>
        </w:tc>
      </w:tr>
    </w:tbl>
    <w:sectPr w:rsidR="00FC693F" w:rsidRPr="0006063C" w:rsidSect="00034616">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8304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F766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